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74" w:rsidRDefault="00F06274" w:rsidP="00912295">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bookmarkStart w:id="0" w:name="_GoBack"/>
      <w:bookmarkEnd w:id="0"/>
    </w:p>
    <w:p w:rsidR="00F06274" w:rsidRDefault="00F06274" w:rsidP="0091229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Family and Medical Leave Act (“FMLA”), 29 U.S.C. § 2601 </w:t>
      </w:r>
      <w:r>
        <w:rPr>
          <w:rFonts w:ascii="Times New Roman" w:eastAsia="Arial" w:hAnsi="Times New Roman" w:cs="Times New Roman"/>
          <w:i/>
          <w:sz w:val="26"/>
          <w:szCs w:val="26"/>
        </w:rPr>
        <w:t>et seq.</w:t>
      </w:r>
      <w:r>
        <w:rPr>
          <w:rFonts w:ascii="Times New Roman" w:eastAsia="Arial" w:hAnsi="Times New Roman" w:cs="Times New Roman"/>
          <w:sz w:val="26"/>
          <w:szCs w:val="26"/>
        </w:rPr>
        <w:t xml:space="preserve">, provides for several causes of action, including an interference claim, in which an employee asserts that his employer denied or otherwise interfered with his rights under the FMLA, and a retaliation claim, in which an employee asserts that his employer took an adverse employment action against him because he took an action protected by the FMLA. Pattern Instruction 4.15 is intended to be used for FMLA retaliation claims where the alleged retaliation is based on the exercise of FMLA rights.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29 C.F.R. § 825.220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Act’s prohibition against ‘interference’ prohibits an employer from discriminating or retaliating against an employee or prospective employee for having exercised or attempted to exercise FMLA rights.”). Pattern Instruction 4.15 may be modified for cases in which a plaintiff alleges that his former employer refused to rehire him based on his past use of FMLA leave. </w:t>
      </w:r>
      <w:r>
        <w:rPr>
          <w:rFonts w:ascii="Times New Roman" w:eastAsia="Arial" w:hAnsi="Times New Roman" w:cs="Times New Roman"/>
          <w:i/>
          <w:sz w:val="26"/>
          <w:szCs w:val="26"/>
        </w:rPr>
        <w:t>See Smith v. BellSouth Telecomms., Inc.</w:t>
      </w:r>
      <w:r>
        <w:rPr>
          <w:rFonts w:ascii="Times New Roman" w:eastAsia="Arial" w:hAnsi="Times New Roman" w:cs="Times New Roman"/>
          <w:sz w:val="26"/>
          <w:szCs w:val="26"/>
        </w:rPr>
        <w:t>, 273 F.3d 1303, 1307 (11</w:t>
      </w:r>
      <w:r w:rsidRPr="00C442B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(allowing FMLA retaliation claim based on failure to rehire).</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4.15 is not intended to be used for FMLA interference cases; for such claims, please refer to Pattern Instruction 4.16</w:t>
      </w:r>
      <w:r w:rsidR="005D08C0">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infra</w:t>
      </w:r>
      <w:r>
        <w:rPr>
          <w:rFonts w:ascii="Times New Roman" w:eastAsia="Arial" w:hAnsi="Times New Roman" w:cs="Times New Roman"/>
          <w:sz w:val="26"/>
          <w:szCs w:val="26"/>
        </w:rPr>
        <w:t xml:space="preserve">. If a plaintiff brings alternative claims for FMLA interference and FMLA retaliation based on the same adverse employment action, Pattern Instructions 4.15 and 4.16 may be merged, though the court should be careful to explain the different causation standards and should be aware of the differences in the availability of a causation affirmative defense. For a discussion of the causation standards and affirmative defense availability, please see annotation § II(H) to Pattern Instruction 4.15, </w:t>
      </w:r>
      <w:r>
        <w:rPr>
          <w:rFonts w:ascii="Times New Roman" w:eastAsia="Arial" w:hAnsi="Times New Roman" w:cs="Times New Roman"/>
          <w:i/>
          <w:sz w:val="26"/>
          <w:szCs w:val="26"/>
        </w:rPr>
        <w:t>infra</w:t>
      </w:r>
      <w:r>
        <w:rPr>
          <w:rFonts w:ascii="Times New Roman" w:eastAsia="Arial" w:hAnsi="Times New Roman" w:cs="Times New Roman"/>
          <w:sz w:val="26"/>
          <w:szCs w:val="26"/>
        </w:rPr>
        <w:t xml:space="preserve"> and annotation § III(B) to Pattern Instruction 4.16, </w:t>
      </w:r>
      <w:r>
        <w:rPr>
          <w:rFonts w:ascii="Times New Roman" w:eastAsia="Arial" w:hAnsi="Times New Roman" w:cs="Times New Roman"/>
          <w:i/>
          <w:sz w:val="26"/>
          <w:szCs w:val="26"/>
        </w:rPr>
        <w:t>infra</w:t>
      </w:r>
      <w:r>
        <w:rPr>
          <w:rFonts w:ascii="Times New Roman" w:eastAsia="Arial" w:hAnsi="Times New Roman" w:cs="Times New Roman"/>
          <w:sz w:val="26"/>
          <w:szCs w:val="26"/>
        </w:rPr>
        <w:t>.</w:t>
      </w:r>
    </w:p>
    <w:p w:rsidR="00F06274" w:rsidRPr="000901D1"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4.15 is also not intended to be used for FMLA retaliation cases where the alleged retaliation is based on an employee’s complaints about or opposition to practices made unlawful under the FMLA,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or an employee’s participation in an inquiry or proceeding under the FMLA,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For such claims, Pattern Instruction 4.15 may be used as a starting point, but the court should carefully consider whether to charge the “eligible for” and “entitled to” elements. The court should also carefully consider whether “motivating factor” or “but for” causation is required to prove such claims.</w:t>
      </w:r>
    </w:p>
    <w:p w:rsidR="00F06274" w:rsidRDefault="00F06274" w:rsidP="0091229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 and Defenses</w:t>
      </w:r>
    </w:p>
    <w:p w:rsidR="00F06274" w:rsidRPr="000901D1"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definitions of the various terms given in this instruction were derived primarily from 29 U.S.C. § 2611 and 29 C.F.R. § 825.800.</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“Employed By”</w:t>
      </w:r>
    </w:p>
    <w:p w:rsidR="00F06274" w:rsidRPr="00270C59"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If there is a dispute as to whether the plaintiff was employed by the defendant, </w:t>
      </w:r>
      <w:r>
        <w:rPr>
          <w:rFonts w:ascii="Times New Roman" w:eastAsia="Arial" w:hAnsi="Times New Roman" w:cs="Times New Roman"/>
          <w:sz w:val="26"/>
          <w:szCs w:val="26"/>
        </w:rPr>
        <w:lastRenderedPageBreak/>
        <w:t>please refer to miscellaneous charges 4.24, 4.25, 4.26, and 4.27 for guidance on instructions related to this issue.</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“Eligible for” FMLA Leave</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To establish a claim of retaliation based on the exercise or attempted exercise of FMLA rights, the plaintiff must establish that he was eligible for FMLA leave at the time the requested leave was to be taken. </w:t>
      </w:r>
      <w:r>
        <w:rPr>
          <w:rFonts w:ascii="Times New Roman" w:eastAsia="Arial" w:hAnsi="Times New Roman" w:cs="Times New Roman"/>
          <w:i/>
          <w:sz w:val="26"/>
          <w:szCs w:val="26"/>
        </w:rPr>
        <w:t>See Walker v. Elmore Cnty. Bd. of Educ.</w:t>
      </w:r>
      <w:r>
        <w:rPr>
          <w:rFonts w:ascii="Times New Roman" w:eastAsia="Arial" w:hAnsi="Times New Roman" w:cs="Times New Roman"/>
          <w:sz w:val="26"/>
          <w:szCs w:val="26"/>
        </w:rPr>
        <w:t>, 379 F.3d 1249, 1253 (11</w:t>
      </w:r>
      <w:r w:rsidRPr="000901D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 (“[T]he statute does not protect an attempt to exercise a right that is not provided by FMLA, i.e., the right to leave before one becomes eligible therefor.”). Accordingly, 4.15 charges that the plaintiff must be “eligible for” FMLA leave.</w:t>
      </w:r>
    </w:p>
    <w:p w:rsidR="00F06274" w:rsidRPr="00F90F87"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“pre-eligible” employee may state a retaliation claim based on retaliation for a request for “post-eligibility” FMLA leave. </w:t>
      </w:r>
      <w:r>
        <w:rPr>
          <w:rFonts w:ascii="Times New Roman" w:eastAsia="Arial" w:hAnsi="Times New Roman" w:cs="Times New Roman"/>
          <w:i/>
          <w:sz w:val="26"/>
          <w:szCs w:val="26"/>
        </w:rPr>
        <w:t>Pereda v. Brookdale Senior Living Cmtys, Inc.</w:t>
      </w:r>
      <w:r>
        <w:rPr>
          <w:rFonts w:ascii="Times New Roman" w:eastAsia="Arial" w:hAnsi="Times New Roman" w:cs="Times New Roman"/>
          <w:sz w:val="26"/>
          <w:szCs w:val="26"/>
        </w:rPr>
        <w:t>, 666 F.3d 1269, 1275 (11</w:t>
      </w:r>
      <w:r w:rsidRPr="00F90F8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2012) (holding that “pre-eligible request for post-eligible leave is protected activity” under the FMLA).</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“Entitled to” FMLA Leave</w:t>
      </w:r>
    </w:p>
    <w:p w:rsidR="00F06274" w:rsidRPr="00F90F87"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To establish a claim of retaliation based on the exercise or attempted exercise of FMLA rights, the plaintiff must establish that the plaintiff was entitled to FMLA leave. </w:t>
      </w:r>
      <w:r>
        <w:rPr>
          <w:rFonts w:ascii="Times New Roman" w:eastAsia="Arial" w:hAnsi="Times New Roman" w:cs="Times New Roman"/>
          <w:i/>
          <w:sz w:val="26"/>
          <w:szCs w:val="26"/>
        </w:rPr>
        <w:t>See Russell v. N. Broward Hosp.</w:t>
      </w:r>
      <w:r>
        <w:rPr>
          <w:rFonts w:ascii="Times New Roman" w:eastAsia="Arial" w:hAnsi="Times New Roman" w:cs="Times New Roman"/>
          <w:sz w:val="26"/>
          <w:szCs w:val="26"/>
        </w:rPr>
        <w:t>, 346 F.3d 1335, 1340 (11</w:t>
      </w:r>
      <w:r w:rsidRPr="00F90F8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2003) (“Interference and retaliation claims both require the employee to establish a ‘serious health condition’ …”). Therefore, Pattern Instruction 4.15 charges that a plaintiff must be “entitled to” FMLA leave.</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“Minor Child”</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FMLA provides leave for an employee to care for a spouse, minor child, disabled child, or parent suffering from a serious health condition. 29 U.S.C. §§2611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2612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(C). Pattern Instruction 4.15 does not define “minor child.” If there is a dispute on this issue, the charge should be adapted accordingly. The definition of son or daughter includes a biological child, an adopted child, a foster child, a stepchild, a legal ward, or a child of a person standing in loco parentis. 29 U.S.C. § 2611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5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Covered Service Member/Active Duty Orders</w:t>
      </w:r>
    </w:p>
    <w:p w:rsidR="00F06274" w:rsidRPr="00270C59"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On October 28, 2009, the FMLA was amended to afford leave to care for family of a “covered service member” or “[b]ecause of any qualifying exigency… arising out of the fact that [a] spouse, or a son, daughter, or parent of the employee is on covered active duty (or has been notified of an impending call or order to covered active duty) in the Armed Forces.” 29 U.S.C. § 2612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(amended by Pub. L. 111-84, § 565 (Oct. 28, 2009)). Pattern Instruction 4.15 instructs </w:t>
      </w:r>
      <w:r w:rsidR="005D08C0">
        <w:rPr>
          <w:rFonts w:ascii="Times New Roman" w:eastAsia="Arial" w:hAnsi="Times New Roman" w:cs="Times New Roman"/>
          <w:sz w:val="26"/>
          <w:szCs w:val="26"/>
        </w:rPr>
        <w:t xml:space="preserve">that </w:t>
      </w:r>
      <w:r>
        <w:rPr>
          <w:rFonts w:ascii="Times New Roman" w:eastAsia="Arial" w:hAnsi="Times New Roman" w:cs="Times New Roman"/>
          <w:sz w:val="26"/>
          <w:szCs w:val="26"/>
        </w:rPr>
        <w:t xml:space="preserve">that “following active duty orders” and “the care of a covered service member” is an “FMLA-qualifying reason” for leave, but the instruction does not define the phrases “following active duty orders” and “covered </w:t>
      </w:r>
      <w:r>
        <w:rPr>
          <w:rFonts w:ascii="Times New Roman" w:eastAsia="Arial" w:hAnsi="Times New Roman" w:cs="Times New Roman"/>
          <w:sz w:val="26"/>
          <w:szCs w:val="26"/>
        </w:rPr>
        <w:lastRenderedPageBreak/>
        <w:t>service members.” In cases where there is a dispute about these issues, the charge should be adapted accordingly.</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6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Notice of Need for FMLA Leave</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An employee is generally required to give proper notice of the employee’s need for FMLA leave. The amount of time an employee must give for notice to be proper depends on the reason for the leave. Where leave is based on an expected birth, planned medical treatment, or any other reason listed in 29 C.F.R. § 825.302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notice must be provided at least 30 days in advance, unless 30 days’ notice is not practicable or the reason for the leave is not foreseeable, in which case notice must be given as soon as practicable. 29 U.S.C. § 2612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29 C.F.R. §§ 825.302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825.303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Where leave is requested due to a foreseeable, qualifying exigency arising out of a family member’s active duty status or notification of an impending call or order to covered active duty, “the employee shall provide such notice to the employer as is reasonable and practicable.” 29 U.S.C. § 2612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Pattern Instruction 4.15 provides bracketed charges regarding the sufficiency of notice corresponding to these grounds for requesting FMLA leave.</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7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Adverse Employment Action</w:t>
      </w:r>
    </w:p>
    <w:p w:rsidR="00F06274" w:rsidRPr="00811AA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4.15 includes an optional “adverse employment action” charge to be used when there is a dispute as to whether the employment action is actionable. The charge incorporates the Supreme Court’s definition of adverse employment action in </w:t>
      </w:r>
      <w:r>
        <w:rPr>
          <w:rFonts w:ascii="Times New Roman" w:eastAsia="Arial" w:hAnsi="Times New Roman" w:cs="Times New Roman"/>
          <w:i/>
          <w:sz w:val="26"/>
          <w:szCs w:val="26"/>
        </w:rPr>
        <w:t>Burlington N. &amp; Santa Fe Ry. Co. v</w:t>
      </w:r>
      <w:r w:rsidR="005D08C0">
        <w:rPr>
          <w:rFonts w:ascii="Times New Roman" w:eastAsia="Arial" w:hAnsi="Times New Roman" w:cs="Times New Roman"/>
          <w:i/>
          <w:sz w:val="26"/>
          <w:szCs w:val="26"/>
        </w:rPr>
        <w:t>.</w:t>
      </w:r>
      <w:r>
        <w:rPr>
          <w:rFonts w:ascii="Times New Roman" w:eastAsia="Arial" w:hAnsi="Times New Roman" w:cs="Times New Roman"/>
          <w:i/>
          <w:sz w:val="26"/>
          <w:szCs w:val="26"/>
        </w:rPr>
        <w:t xml:space="preserve"> White</w:t>
      </w:r>
      <w:r>
        <w:rPr>
          <w:rFonts w:ascii="Times New Roman" w:eastAsia="Arial" w:hAnsi="Times New Roman" w:cs="Times New Roman"/>
          <w:sz w:val="26"/>
          <w:szCs w:val="26"/>
        </w:rPr>
        <w:t xml:space="preserve">, 548 U.S. 53, 126 (2006), which provides that an adverse employment action is action that “might have dissuaded a reasonable worker from making or supporting a charge of discrimination.”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68 (internal quotation marks omitted); </w:t>
      </w:r>
      <w:r>
        <w:rPr>
          <w:rFonts w:ascii="Times New Roman" w:eastAsia="Arial" w:hAnsi="Times New Roman" w:cs="Times New Roman"/>
          <w:i/>
          <w:sz w:val="26"/>
          <w:szCs w:val="26"/>
        </w:rPr>
        <w:t>see also Breneisen v. Motorola, Inc.</w:t>
      </w:r>
      <w:r>
        <w:rPr>
          <w:rFonts w:ascii="Times New Roman" w:eastAsia="Arial" w:hAnsi="Times New Roman" w:cs="Times New Roman"/>
          <w:sz w:val="26"/>
          <w:szCs w:val="26"/>
        </w:rPr>
        <w:t>, 512 F.3d 972, 979 (7</w:t>
      </w:r>
      <w:r w:rsidRPr="00811AA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(applying </w:t>
      </w:r>
      <w:r>
        <w:rPr>
          <w:rFonts w:ascii="Times New Roman" w:eastAsia="Arial" w:hAnsi="Times New Roman" w:cs="Times New Roman"/>
          <w:i/>
          <w:sz w:val="26"/>
          <w:szCs w:val="26"/>
        </w:rPr>
        <w:t>Burlington Northern</w:t>
      </w:r>
      <w:r>
        <w:rPr>
          <w:rFonts w:ascii="Times New Roman" w:eastAsia="Arial" w:hAnsi="Times New Roman" w:cs="Times New Roman"/>
          <w:sz w:val="26"/>
          <w:szCs w:val="26"/>
        </w:rPr>
        <w:t xml:space="preserve"> to an FMLA retaliation claim).</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8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Causation</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FMLA makes it unlawful for an employer to discriminate against an individual “for opposing any practice made unlawful” by the FMLA,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and it also makes it unlawful for any person to discriminate against an individual “because” the individual participated in an inquiry or hearing under the FMLA,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4.15 instructs that the jury must find that the defendant’s decision was “because of” the plaintiff’s protected activity. This language tracks the language of Pattern Instruction 4.10,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and Pattern Instruction 4.22, </w:t>
      </w:r>
      <w:r w:rsidRPr="00490F4E">
        <w:rPr>
          <w:rFonts w:ascii="Times New Roman" w:eastAsia="Arial" w:hAnsi="Times New Roman" w:cs="Times New Roman"/>
          <w:i/>
          <w:sz w:val="26"/>
          <w:szCs w:val="26"/>
        </w:rPr>
        <w:t>infra</w:t>
      </w:r>
      <w:r>
        <w:rPr>
          <w:rFonts w:ascii="Times New Roman" w:eastAsia="Arial" w:hAnsi="Times New Roman" w:cs="Times New Roman"/>
          <w:sz w:val="26"/>
          <w:szCs w:val="26"/>
        </w:rPr>
        <w:t>.</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 </w:t>
      </w:r>
      <w:r>
        <w:rPr>
          <w:rFonts w:ascii="Times New Roman" w:eastAsia="Arial" w:hAnsi="Times New Roman" w:cs="Times New Roman"/>
          <w:i/>
          <w:sz w:val="26"/>
          <w:szCs w:val="26"/>
        </w:rPr>
        <w:t>Gross v. FBL Financial Services, Inc.</w:t>
      </w:r>
      <w:r>
        <w:rPr>
          <w:rFonts w:ascii="Times New Roman" w:eastAsia="Arial" w:hAnsi="Times New Roman" w:cs="Times New Roman"/>
          <w:sz w:val="26"/>
          <w:szCs w:val="26"/>
        </w:rPr>
        <w:t xml:space="preserve">, 129 S. Ct. 2343 (2009), the Supreme Court held that to prove discrimination under the Age Discrimination in Employment Act (“ADEA”), the plaintiff must establish “but for” causation and may not prevail “by </w:t>
      </w:r>
      <w:r>
        <w:rPr>
          <w:rFonts w:ascii="Times New Roman" w:eastAsia="Arial" w:hAnsi="Times New Roman" w:cs="Times New Roman"/>
          <w:sz w:val="26"/>
          <w:szCs w:val="26"/>
        </w:rPr>
        <w:lastRenderedPageBreak/>
        <w:t xml:space="preserve">showing that age was simply a motivating factor.” </w:t>
      </w:r>
      <w:r>
        <w:rPr>
          <w:rFonts w:ascii="Times New Roman" w:eastAsia="Arial" w:hAnsi="Times New Roman" w:cs="Times New Roman"/>
          <w:i/>
          <w:sz w:val="26"/>
          <w:szCs w:val="26"/>
        </w:rPr>
        <w:t>Gross v. FBL Fin. Servs., Inc.</w:t>
      </w:r>
      <w:r>
        <w:rPr>
          <w:rFonts w:ascii="Times New Roman" w:eastAsia="Arial" w:hAnsi="Times New Roman" w:cs="Times New Roman"/>
          <w:sz w:val="26"/>
          <w:szCs w:val="26"/>
        </w:rPr>
        <w:t xml:space="preserve">, 129 S. Ct. 2343, 2349-51 (2009). The rationale for this decision: the ADEA’s statutory text makes it unlawful for an employer to discriminate against an individual “because of” the individual’s age. </w:t>
      </w:r>
      <w:r>
        <w:rPr>
          <w:rFonts w:ascii="Times New Roman" w:eastAsia="Arial" w:hAnsi="Times New Roman" w:cs="Times New Roman"/>
          <w:i/>
          <w:sz w:val="26"/>
          <w:szCs w:val="26"/>
        </w:rPr>
        <w:t>Id</w:t>
      </w:r>
      <w:r>
        <w:rPr>
          <w:rFonts w:ascii="Times New Roman" w:eastAsia="Arial" w:hAnsi="Times New Roman" w:cs="Times New Roman"/>
          <w:sz w:val="26"/>
          <w:szCs w:val="26"/>
        </w:rPr>
        <w:t>. at 2350. Only Title VII was amended to allow for employer liability where discrimination was a “</w:t>
      </w:r>
      <w:r w:rsidR="005D08C0">
        <w:rPr>
          <w:rFonts w:ascii="Times New Roman" w:eastAsia="Arial" w:hAnsi="Times New Roman" w:cs="Times New Roman"/>
          <w:sz w:val="26"/>
          <w:szCs w:val="26"/>
        </w:rPr>
        <w:t xml:space="preserve">‘ was a </w:t>
      </w:r>
      <w:r>
        <w:rPr>
          <w:rFonts w:ascii="Times New Roman" w:eastAsia="Arial" w:hAnsi="Times New Roman" w:cs="Times New Roman"/>
          <w:sz w:val="26"/>
          <w:szCs w:val="26"/>
        </w:rPr>
        <w:t>motivating factor for any employment practice, even though other factors also motivated the practice.</w:t>
      </w:r>
      <w:r w:rsidR="005D08C0">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Id</w:t>
      </w:r>
      <w:r>
        <w:rPr>
          <w:rFonts w:ascii="Times New Roman" w:eastAsia="Arial" w:hAnsi="Times New Roman" w:cs="Times New Roman"/>
          <w:sz w:val="26"/>
          <w:szCs w:val="26"/>
        </w:rPr>
        <w:t>. n.3 (quoting 42 U.S.C.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Also, “[b]ecause an ADEA plaintiff must establish ‘but for’ causality, no ‘same decision’ affirmative defense can exist: the employer either acted ‘because of’ the plaintiff’s age or it did not.” </w:t>
      </w:r>
      <w:r>
        <w:rPr>
          <w:rFonts w:ascii="Times New Roman" w:eastAsia="Arial" w:hAnsi="Times New Roman" w:cs="Times New Roman"/>
          <w:i/>
          <w:sz w:val="26"/>
          <w:szCs w:val="26"/>
        </w:rPr>
        <w:t>Mora v. Jackson Mem’l Found., Inc.</w:t>
      </w:r>
      <w:r>
        <w:rPr>
          <w:rFonts w:ascii="Times New Roman" w:eastAsia="Arial" w:hAnsi="Times New Roman" w:cs="Times New Roman"/>
          <w:sz w:val="26"/>
          <w:szCs w:val="26"/>
        </w:rPr>
        <w:t>, 597 F.3d 1201, 1204 (11</w:t>
      </w:r>
      <w:r w:rsidRPr="009A4610">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In </w:t>
      </w:r>
      <w:r w:rsidRPr="00A129BA">
        <w:rPr>
          <w:rFonts w:ascii="Times New Roman" w:eastAsia="Arial" w:hAnsi="Times New Roman" w:cs="Times New Roman"/>
          <w:i/>
          <w:sz w:val="26"/>
          <w:szCs w:val="26"/>
        </w:rPr>
        <w:t>University of Texas Southwestern Medical Center v. Nassar</w:t>
      </w:r>
      <w:r w:rsidR="005D08C0">
        <w:rPr>
          <w:rFonts w:ascii="Times New Roman" w:eastAsia="Arial" w:hAnsi="Times New Roman" w:cs="Times New Roman"/>
          <w:sz w:val="26"/>
          <w:szCs w:val="26"/>
        </w:rPr>
        <w:t>, No. 12-4</w:t>
      </w:r>
      <w:r>
        <w:rPr>
          <w:rFonts w:ascii="Times New Roman" w:eastAsia="Arial" w:hAnsi="Times New Roman" w:cs="Times New Roman"/>
          <w:sz w:val="26"/>
          <w:szCs w:val="26"/>
        </w:rPr>
        <w:t xml:space="preserve">84, 2013 WL 3155234 (U.S. June 24, 2013), the Supreme Court extended the rationale of </w:t>
      </w:r>
      <w:r w:rsidRPr="00A129BA">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to Title VII retaliation claims “[g]iven the lack of any meaningful textual difference between the text in” Title VII’s anti-retaliation </w:t>
      </w:r>
      <w:r w:rsidR="005D08C0">
        <w:rPr>
          <w:rFonts w:ascii="Times New Roman" w:eastAsia="Arial" w:hAnsi="Times New Roman" w:cs="Times New Roman"/>
          <w:sz w:val="26"/>
          <w:szCs w:val="26"/>
        </w:rPr>
        <w:t>provision and the ADEA’s anti-retaliation provision</w:t>
      </w:r>
      <w:r>
        <w:rPr>
          <w:rFonts w:ascii="Times New Roman" w:eastAsia="Arial" w:hAnsi="Times New Roman" w:cs="Times New Roman"/>
          <w:sz w:val="26"/>
          <w:szCs w:val="26"/>
        </w:rPr>
        <w:t xml:space="preserve">. </w:t>
      </w:r>
      <w:r w:rsidRPr="00A129BA">
        <w:rPr>
          <w:rFonts w:ascii="Times New Roman" w:eastAsia="Arial" w:hAnsi="Times New Roman" w:cs="Times New Roman"/>
          <w:i/>
          <w:sz w:val="26"/>
          <w:szCs w:val="26"/>
        </w:rPr>
        <w:t>Nassar</w:t>
      </w:r>
      <w:r>
        <w:rPr>
          <w:rFonts w:ascii="Times New Roman" w:eastAsia="Arial" w:hAnsi="Times New Roman" w:cs="Times New Roman"/>
          <w:sz w:val="26"/>
          <w:szCs w:val="26"/>
        </w:rPr>
        <w:t>, 2013 WL 3155234, at *10. Therefore, “Title VII retaliation claims must be proved according to traditional principles of but-for causation, not the lessened causation test stated in [42 U.S.C.]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Pr="00A129BA">
        <w:rPr>
          <w:rFonts w:ascii="Times New Roman" w:eastAsia="Arial" w:hAnsi="Times New Roman" w:cs="Times New Roman"/>
          <w:i/>
          <w:sz w:val="26"/>
          <w:szCs w:val="26"/>
        </w:rPr>
        <w:t>Id</w:t>
      </w:r>
      <w:r>
        <w:rPr>
          <w:rFonts w:ascii="Times New Roman" w:eastAsia="Arial" w:hAnsi="Times New Roman" w:cs="Times New Roman"/>
          <w:sz w:val="26"/>
          <w:szCs w:val="26"/>
        </w:rPr>
        <w:t>. at *14.</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Again, the FMLA makes it unlawful for an employer to discriminate against an individual “for opposing any practice made unlawful” by the FMLA,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and it also makes it unlawful for any person to discriminate against an individual “because” the individual participated in an inquiry or hearing under the FMLA,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The “motivating factor” language of Title VII § 2000e-2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was not inserted into the FMLA.</w:t>
      </w:r>
    </w:p>
    <w:p w:rsidR="00F06274" w:rsidRPr="00CB514B" w:rsidRDefault="00F06274" w:rsidP="00912295">
      <w:pPr>
        <w:spacing w:after="240" w:line="240" w:lineRule="auto"/>
        <w:ind w:firstLine="720"/>
        <w:jc w:val="both"/>
        <w:rPr>
          <w:rFonts w:ascii="Times New Roman" w:eastAsia="Arial" w:hAnsi="Times New Roman" w:cs="Times New Roman"/>
          <w:i/>
          <w:sz w:val="26"/>
          <w:szCs w:val="26"/>
        </w:rPr>
      </w:pPr>
      <w:r>
        <w:rPr>
          <w:rFonts w:ascii="Times New Roman" w:eastAsia="Arial" w:hAnsi="Times New Roman" w:cs="Times New Roman"/>
          <w:sz w:val="26"/>
          <w:szCs w:val="26"/>
        </w:rPr>
        <w:t xml:space="preserve">Although the Eleventh Circuit has not, at the time of this publication, issued an opinion on this matter, the Committee believes that the rationale of </w:t>
      </w:r>
      <w:r w:rsidRPr="00A129BA">
        <w:rPr>
          <w:rFonts w:ascii="Times New Roman" w:eastAsia="Arial" w:hAnsi="Times New Roman" w:cs="Times New Roman"/>
          <w:i/>
          <w:sz w:val="26"/>
          <w:szCs w:val="26"/>
        </w:rPr>
        <w:t>Gross</w:t>
      </w:r>
      <w:r>
        <w:rPr>
          <w:rFonts w:ascii="Times New Roman" w:eastAsia="Arial" w:hAnsi="Times New Roman" w:cs="Times New Roman"/>
          <w:sz w:val="26"/>
          <w:szCs w:val="26"/>
        </w:rPr>
        <w:t xml:space="preserve"> and </w:t>
      </w:r>
      <w:r w:rsidRPr="00A129BA">
        <w:rPr>
          <w:rFonts w:ascii="Times New Roman" w:eastAsia="Arial" w:hAnsi="Times New Roman" w:cs="Times New Roman"/>
          <w:i/>
          <w:sz w:val="26"/>
          <w:szCs w:val="26"/>
        </w:rPr>
        <w:t>Nassar</w:t>
      </w:r>
      <w:r>
        <w:rPr>
          <w:rFonts w:ascii="Times New Roman" w:eastAsia="Arial" w:hAnsi="Times New Roman" w:cs="Times New Roman"/>
          <w:sz w:val="26"/>
          <w:szCs w:val="26"/>
        </w:rPr>
        <w:t xml:space="preserve"> may extend to </w:t>
      </w:r>
      <w:r w:rsidR="005D08C0">
        <w:rPr>
          <w:rFonts w:ascii="Times New Roman" w:eastAsia="Arial" w:hAnsi="Times New Roman" w:cs="Times New Roman"/>
          <w:sz w:val="26"/>
          <w:szCs w:val="26"/>
        </w:rPr>
        <w:t xml:space="preserve">the </w:t>
      </w:r>
      <w:r>
        <w:rPr>
          <w:rFonts w:ascii="Times New Roman" w:eastAsia="Arial" w:hAnsi="Times New Roman" w:cs="Times New Roman"/>
          <w:sz w:val="26"/>
          <w:szCs w:val="26"/>
        </w:rPr>
        <w:t>FMLA because the statutory causation language for FMLA participation clause claims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is the same in the FMLA, ADEA, and Title VII (“because”), and the statutory causation language for FMLA opposition clause (29 U.S.C. § 2615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(“for opposing”) is not significantly different. Accordingly, Pattern Instruction 4.15 instructs that the adverse employment action must be “because of” the plaintiff’s protected activity.</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9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Pretext</w:t>
      </w:r>
    </w:p>
    <w:p w:rsidR="00F06274" w:rsidRPr="00CB514B"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model instruction includes in brackets an optional charge discussing the inference of pretext. The basis for this charge is explained in further detail in the annotations following Pattern Instruction 4.5,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10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Health Plan Premiums</w:t>
      </w:r>
    </w:p>
    <w:p w:rsidR="00F06274" w:rsidRPr="0097632B"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During an employee’s FMLA leave, an employer must maintain any existing health insurance coverage under a group health plan if the insurance would have been </w:t>
      </w:r>
      <w:r>
        <w:rPr>
          <w:rFonts w:ascii="Times New Roman" w:eastAsia="Arial" w:hAnsi="Times New Roman" w:cs="Times New Roman"/>
          <w:sz w:val="26"/>
          <w:szCs w:val="26"/>
        </w:rPr>
        <w:lastRenderedPageBreak/>
        <w:t>available had the employee not taken leave. 29 U.S.C. § 2614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see also</w:t>
      </w:r>
      <w:r>
        <w:rPr>
          <w:rFonts w:ascii="Times New Roman" w:eastAsia="Arial" w:hAnsi="Times New Roman" w:cs="Times New Roman"/>
          <w:sz w:val="26"/>
          <w:szCs w:val="26"/>
        </w:rPr>
        <w:t xml:space="preserve"> 29 C.F.R. § 825.800 (defining “group health plan”). The employer can recover the premium paid during the leave if the employee fails to return to work based on a voluntary choice rather than continued health problems or other circumstances beyond the employee’s control. 29 U.S.C. § 2614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29 C.F.R. § 825.100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Should an employer seek to recover health plan premiums from an employee, additional instructions and special interrogatories may be appropriate.</w:t>
      </w:r>
    </w:p>
    <w:p w:rsidR="00F06274" w:rsidRDefault="00F06274" w:rsidP="00912295">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Key Employee Defense</w:t>
      </w:r>
    </w:p>
    <w:p w:rsidR="00F06274" w:rsidRPr="00BE08A6"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If an employee is salaried and among the highest paid ten percent of all of the employer’s employees within a 75 mile radius, then the employer may refuse to restore a plaintiff to an equivalent position if it “is necessary to prevent substantial and grievous economic injury to the operations of the employer,” notice is given to the employee, and if leave has commenced “the employee elects not to return to employment after receiving such notice.” 29 U.S.C. § 2614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This is sometimes called the “key employee” defense. Pattern Instruction 4.15 does not include an instruction on this defense. If there is a fact dispute on this issue, the charge should be adapted.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29 C.F.R. § 825.218.</w:t>
      </w:r>
    </w:p>
    <w:p w:rsidR="00F06274" w:rsidRDefault="00F06274" w:rsidP="00912295">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F06274" w:rsidRPr="00A61C2C"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 prevailing plaintiff under FMLA is entitled to damages as set forth in 29 U.S.C. § 2617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prevailing plaintiff can recover actual damages equal to the amount of “any wages, salary, employment benefits, or other compensation denied or lost” by reason of the employer’s violation of FMLA. </w:t>
      </w:r>
      <w:r>
        <w:rPr>
          <w:rFonts w:ascii="Times New Roman" w:eastAsia="Arial" w:hAnsi="Times New Roman" w:cs="Times New Roman"/>
          <w:i/>
          <w:sz w:val="26"/>
          <w:szCs w:val="26"/>
        </w:rPr>
        <w:t>Id</w:t>
      </w:r>
      <w:r>
        <w:rPr>
          <w:rFonts w:ascii="Times New Roman" w:eastAsia="Arial" w:hAnsi="Times New Roman" w:cs="Times New Roman"/>
          <w:sz w:val="26"/>
          <w:szCs w:val="26"/>
        </w:rPr>
        <w:t>. § 2617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OutlineDefault \l 7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(I). If the prevailing plaintiff incurred no such damages, the plaintiff can recover any actual monetary losses sustained as a direct result of the employer’s violation of FMLA, such as the cost of providing care to an injured family member. </w:t>
      </w:r>
      <w:r>
        <w:rPr>
          <w:rFonts w:ascii="Times New Roman" w:eastAsia="Arial" w:hAnsi="Times New Roman" w:cs="Times New Roman"/>
          <w:i/>
          <w:sz w:val="26"/>
          <w:szCs w:val="26"/>
        </w:rPr>
        <w:t>Id</w:t>
      </w:r>
      <w:r>
        <w:rPr>
          <w:rFonts w:ascii="Times New Roman" w:eastAsia="Arial" w:hAnsi="Times New Roman" w:cs="Times New Roman"/>
          <w:sz w:val="26"/>
          <w:szCs w:val="26"/>
        </w:rPr>
        <w:t>. § 2617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OutlineDefault \l 7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(II). That alternative measure of damages is limited to a sum equal to twelve weeks of the plaintiff’s pay, or in a case involving leave to care for a servicemember under § 2612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twenty-six weeks of the plaintiff’s pay. </w:t>
      </w:r>
      <w:r>
        <w:rPr>
          <w:rFonts w:ascii="Times New Roman" w:eastAsia="Arial" w:hAnsi="Times New Roman" w:cs="Times New Roman"/>
          <w:i/>
          <w:sz w:val="26"/>
          <w:szCs w:val="26"/>
        </w:rPr>
        <w:t>Id</w:t>
      </w:r>
      <w:r>
        <w:rPr>
          <w:rFonts w:ascii="Times New Roman" w:eastAsia="Arial" w:hAnsi="Times New Roman" w:cs="Times New Roman"/>
          <w:sz w:val="26"/>
          <w:szCs w:val="26"/>
        </w:rPr>
        <w:t>. § 2617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(II). Pattern Instruction 4.15 has bracketed alternative charges regarding the proper measure of damages.</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FMLA does not allow recovery for mental distress or the loss of job security.” </w:t>
      </w:r>
      <w:r>
        <w:rPr>
          <w:rFonts w:ascii="Times New Roman" w:eastAsia="Arial" w:hAnsi="Times New Roman" w:cs="Times New Roman"/>
          <w:i/>
          <w:sz w:val="26"/>
          <w:szCs w:val="26"/>
        </w:rPr>
        <w:t>Graham v. State Farm Mut. Ins. Co.</w:t>
      </w:r>
      <w:r>
        <w:rPr>
          <w:rFonts w:ascii="Times New Roman" w:eastAsia="Arial" w:hAnsi="Times New Roman" w:cs="Times New Roman"/>
          <w:sz w:val="26"/>
          <w:szCs w:val="26"/>
        </w:rPr>
        <w:t>, 193 F.3d 1274, 1284 (11</w:t>
      </w:r>
      <w:r w:rsidRPr="00A61C2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1999) (per curiam). In addition, punitive damages are unavailable under FMLA. </w:t>
      </w:r>
      <w:r>
        <w:rPr>
          <w:rFonts w:ascii="Times New Roman" w:eastAsia="Arial" w:hAnsi="Times New Roman" w:cs="Times New Roman"/>
          <w:i/>
          <w:sz w:val="26"/>
          <w:szCs w:val="26"/>
        </w:rPr>
        <w:t>See, e.g., Farrell v. Tri-Cnty. Metro. Transp. Dist. of Or.</w:t>
      </w:r>
      <w:r>
        <w:rPr>
          <w:rFonts w:ascii="Times New Roman" w:eastAsia="Arial" w:hAnsi="Times New Roman" w:cs="Times New Roman"/>
          <w:sz w:val="26"/>
          <w:szCs w:val="26"/>
        </w:rPr>
        <w:t>, 530 F.3d 1023, 1025 (9</w:t>
      </w:r>
      <w:r w:rsidRPr="00A61C2C">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2008). Therefore, Pattern Instruction 4.15 does not include this category of damages.</w:t>
      </w:r>
    </w:p>
    <w:p w:rsid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An award of liquidated damages equal to the amount of actual damages and interest must be awarded unless the employer “proves to the satisfaction of the court” that the acts or omissions giving rise to the violation were in good faith and that the employer had reasonable grounds for believing that such acts or omissions did not violate FMLA, in which case the court may, in its sound discretion, award no liquidated damages or award an amount not to exceed the amount allowable under the statute. 29 U.S.C. § 2617</w:t>
      </w:r>
      <w:r>
        <w:rPr>
          <w:rFonts w:ascii="Times New Roman" w:eastAsia="Arial" w:hAnsi="Times New Roman" w:cs="Times New Roman"/>
          <w:sz w:val="26"/>
          <w:szCs w:val="26"/>
        </w:rPr>
        <w:lastRenderedPageBreak/>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6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issue of whether to reduce an award of liquidated damages is a question for the judge, not the jury. </w:t>
      </w:r>
      <w:r>
        <w:rPr>
          <w:rFonts w:ascii="Times New Roman" w:eastAsia="Arial" w:hAnsi="Times New Roman" w:cs="Times New Roman"/>
          <w:i/>
          <w:sz w:val="26"/>
          <w:szCs w:val="26"/>
        </w:rPr>
        <w:t>See, e.g., Cooper v. Fulton Cnty., Ga.</w:t>
      </w:r>
      <w:r>
        <w:rPr>
          <w:rFonts w:ascii="Times New Roman" w:eastAsia="Arial" w:hAnsi="Times New Roman" w:cs="Times New Roman"/>
          <w:sz w:val="26"/>
          <w:szCs w:val="26"/>
        </w:rPr>
        <w:t>, 458 F.3d 1282, 1287-88 (11</w:t>
      </w:r>
      <w:r w:rsidRPr="009B135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(affirming district court’s award of liquidated damages).</w:t>
      </w:r>
    </w:p>
    <w:p w:rsidR="00725167" w:rsidRPr="00F06274" w:rsidRDefault="00F06274" w:rsidP="00912295">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While the FMLA does not expressly authorize a jury trial, the availability of a jury trial may be inferred from its legislative history referencing the Fair Labor Standards Act, which has been consistently interpreted to authorize jury trials. </w:t>
      </w:r>
      <w:r>
        <w:rPr>
          <w:rFonts w:ascii="Times New Roman" w:eastAsia="Arial" w:hAnsi="Times New Roman" w:cs="Times New Roman"/>
          <w:i/>
          <w:sz w:val="26"/>
          <w:szCs w:val="26"/>
        </w:rPr>
        <w:t>See Frizzell v. Sw. Motor Freight</w:t>
      </w:r>
      <w:r>
        <w:rPr>
          <w:rFonts w:ascii="Times New Roman" w:eastAsia="Arial" w:hAnsi="Times New Roman" w:cs="Times New Roman"/>
          <w:sz w:val="26"/>
          <w:szCs w:val="26"/>
        </w:rPr>
        <w:t>, 154 F.3d 641, 644 (6</w:t>
      </w:r>
      <w:r w:rsidRPr="009B135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1998) (holding that a request for damages under FMLA triggers a statutory right to a jury trial). A jury trial is appropriate to decide the issues of back pay, whereas equitable issues such as reinstatement and front pay should be decided by the court.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29 U.S.C. § 2617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(B) (permitting a prevailing employee to recover “such equitable relief as may be appropriate, including employment, reinstatement, and promotion”); </w:t>
      </w:r>
      <w:r>
        <w:rPr>
          <w:rFonts w:ascii="Times New Roman" w:eastAsia="Arial" w:hAnsi="Times New Roman" w:cs="Times New Roman"/>
          <w:i/>
          <w:sz w:val="26"/>
          <w:szCs w:val="26"/>
        </w:rPr>
        <w:t>Dotson v. Pfizer, Inc.</w:t>
      </w:r>
      <w:r>
        <w:rPr>
          <w:rFonts w:ascii="Times New Roman" w:eastAsia="Arial" w:hAnsi="Times New Roman" w:cs="Times New Roman"/>
          <w:sz w:val="26"/>
          <w:szCs w:val="26"/>
        </w:rPr>
        <w:t>, 558 F.3d 284, 300 (4</w:t>
      </w:r>
      <w:r w:rsidRPr="009B135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2009) (“Determinations of front pay are made by the trial court sitting in equity.”).</w:t>
      </w:r>
    </w:p>
    <w:sectPr w:rsidR="00725167" w:rsidRPr="00F06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71" w:rsidRDefault="00512671" w:rsidP="00512671">
      <w:pPr>
        <w:spacing w:after="0" w:line="240" w:lineRule="auto"/>
      </w:pPr>
      <w:r>
        <w:separator/>
      </w:r>
    </w:p>
  </w:endnote>
  <w:endnote w:type="continuationSeparator" w:id="0">
    <w:p w:rsidR="00512671" w:rsidRDefault="00512671" w:rsidP="0051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71" w:rsidRDefault="00512671" w:rsidP="00512671">
      <w:pPr>
        <w:spacing w:after="0" w:line="240" w:lineRule="auto"/>
      </w:pPr>
      <w:r>
        <w:separator/>
      </w:r>
    </w:p>
  </w:footnote>
  <w:footnote w:type="continuationSeparator" w:id="0">
    <w:p w:rsidR="00512671" w:rsidRDefault="00512671" w:rsidP="00512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31"/>
    <w:rsid w:val="00014B03"/>
    <w:rsid w:val="00204531"/>
    <w:rsid w:val="002B519C"/>
    <w:rsid w:val="003460F3"/>
    <w:rsid w:val="00512671"/>
    <w:rsid w:val="005D08C0"/>
    <w:rsid w:val="00656411"/>
    <w:rsid w:val="00725167"/>
    <w:rsid w:val="0081575C"/>
    <w:rsid w:val="00912295"/>
    <w:rsid w:val="00A67430"/>
    <w:rsid w:val="00DC18AE"/>
    <w:rsid w:val="00F0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3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51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3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51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2625</Words>
  <Characters>14963</Characters>
  <Application>Microsoft Office Word</Application>
  <DocSecurity>0</DocSecurity>
  <Lines>124</Lines>
  <Paragraphs>35</Paragraphs>
  <ScaleCrop>false</ScaleCrop>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2014-04-24T20:46:00Z</dcterms:created>
  <dcterms:modified xsi:type="dcterms:W3CDTF">2014-06-19T19:13:00Z</dcterms:modified>
</cp:coreProperties>
</file>