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0A" w:rsidRDefault="000B630A" w:rsidP="0034345F">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0B630A" w:rsidRDefault="000B630A" w:rsidP="0034345F">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0B630A"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Family and Medical Leave Act (“FMLA”), 29 U.S.C. § 2601 </w:t>
      </w:r>
      <w:r>
        <w:rPr>
          <w:rFonts w:ascii="Times New Roman" w:eastAsia="Arial" w:hAnsi="Times New Roman" w:cs="Times New Roman"/>
          <w:i/>
          <w:sz w:val="26"/>
          <w:szCs w:val="26"/>
        </w:rPr>
        <w:t>et seq.</w:t>
      </w:r>
      <w:r>
        <w:rPr>
          <w:rFonts w:ascii="Times New Roman" w:eastAsia="Arial" w:hAnsi="Times New Roman" w:cs="Times New Roman"/>
          <w:sz w:val="26"/>
          <w:szCs w:val="26"/>
        </w:rPr>
        <w:t>, provides for several causes of action, including an interference claim, in which an employee asserts that his employer denied or otherwise interfered with his rights under the FMLA, and a retaliation claim, in which an employee asserts that his employer took an adverse employment action against him because he took an action protected by the FMLA.</w:t>
      </w:r>
    </w:p>
    <w:p w:rsidR="000B630A" w:rsidRPr="00480125"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4.16 is intended to be used for FMLA interference claims. Pattern Instruction 4.16 is not intended to be used for FMLA retaliation cases; for such claims, please refer to Pattern Instruction 4.15</w:t>
      </w:r>
      <w:r w:rsidR="00C22051">
        <w:rPr>
          <w:rFonts w:ascii="Times New Roman" w:eastAsia="Arial" w:hAnsi="Times New Roman" w:cs="Times New Roman"/>
          <w:sz w:val="26"/>
          <w:szCs w:val="26"/>
        </w:rPr>
        <w:t>.</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If a plaintiff brings alternative claims for FMLA interference and FMLA retaliation based on the same adverse employment action, Pattern Instructions 4.15 and 4.16 may be merged, though the court should be careful to explain the different causation standards and should be aware of the differences in the availability of a causation affirmative defense. For a discussion of the causation standards and affirmative defense availability, please see annotation § II(H) to Pattern Instruction 4.15, </w:t>
      </w:r>
      <w:r>
        <w:rPr>
          <w:rFonts w:ascii="Times New Roman" w:eastAsia="Arial" w:hAnsi="Times New Roman" w:cs="Times New Roman"/>
          <w:i/>
          <w:sz w:val="26"/>
          <w:szCs w:val="26"/>
        </w:rPr>
        <w:t>supra</w:t>
      </w:r>
      <w:r>
        <w:rPr>
          <w:rFonts w:ascii="Times New Roman" w:eastAsia="Arial" w:hAnsi="Times New Roman" w:cs="Times New Roman"/>
          <w:sz w:val="26"/>
          <w:szCs w:val="26"/>
        </w:rPr>
        <w:t xml:space="preserve">, and annotation § III(B) to Pattern Instruction 4.16, </w:t>
      </w:r>
      <w:r>
        <w:rPr>
          <w:rFonts w:ascii="Times New Roman" w:eastAsia="Arial" w:hAnsi="Times New Roman" w:cs="Times New Roman"/>
          <w:i/>
          <w:sz w:val="26"/>
          <w:szCs w:val="26"/>
        </w:rPr>
        <w:t>infra</w:t>
      </w:r>
      <w:r>
        <w:rPr>
          <w:rFonts w:ascii="Times New Roman" w:eastAsia="Arial" w:hAnsi="Times New Roman" w:cs="Times New Roman"/>
          <w:sz w:val="26"/>
          <w:szCs w:val="26"/>
        </w:rPr>
        <w:t>.</w:t>
      </w:r>
    </w:p>
    <w:p w:rsidR="000B630A" w:rsidRDefault="000B630A" w:rsidP="0034345F">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Distinction Between FMLA Interference and FMLA Retaliation Claims</w:t>
      </w:r>
    </w:p>
    <w:p w:rsidR="000B630A" w:rsidRPr="00480125"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To state an interference claim, the employee must show that his employer interfered with or denied him an FMLA benefit to which he was entitled. </w:t>
      </w:r>
      <w:r>
        <w:rPr>
          <w:rFonts w:ascii="Times New Roman" w:eastAsia="Arial" w:hAnsi="Times New Roman" w:cs="Times New Roman"/>
          <w:i/>
          <w:sz w:val="26"/>
          <w:szCs w:val="26"/>
        </w:rPr>
        <w:t>O’Connor v. PCA Family Health Plan, Inc.</w:t>
      </w:r>
      <w:r>
        <w:rPr>
          <w:rFonts w:ascii="Times New Roman" w:eastAsia="Arial" w:hAnsi="Times New Roman" w:cs="Times New Roman"/>
          <w:sz w:val="26"/>
          <w:szCs w:val="26"/>
        </w:rPr>
        <w:t>, 200 F.3d 1349, 1353-54 (11</w:t>
      </w:r>
      <w:r w:rsidRPr="00480125">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2000). The employee “does not have to allege that his employer intended to deny the right; the employer’s motives are irrelevant.” </w:t>
      </w:r>
      <w:r>
        <w:rPr>
          <w:rFonts w:ascii="Times New Roman" w:eastAsia="Arial" w:hAnsi="Times New Roman" w:cs="Times New Roman"/>
          <w:i/>
          <w:sz w:val="26"/>
          <w:szCs w:val="26"/>
        </w:rPr>
        <w:t>Strickland v. Water Works &amp; Sewer Bd.</w:t>
      </w:r>
      <w:r>
        <w:rPr>
          <w:rFonts w:ascii="Times New Roman" w:eastAsia="Arial" w:hAnsi="Times New Roman" w:cs="Times New Roman"/>
          <w:sz w:val="26"/>
          <w:szCs w:val="26"/>
        </w:rPr>
        <w:t>, 239 F.3d 1199, 1208 (11</w:t>
      </w:r>
      <w:r w:rsidRPr="00480125">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In contrast, an FMLA retaliation plaintiff must prove that his employer retaliated against him because he engaged in activity protected by the FMLA. </w:t>
      </w:r>
      <w:r>
        <w:rPr>
          <w:rFonts w:ascii="Times New Roman" w:eastAsia="Arial" w:hAnsi="Times New Roman" w:cs="Times New Roman"/>
          <w:i/>
          <w:sz w:val="26"/>
          <w:szCs w:val="26"/>
        </w:rPr>
        <w:t>See Spakes v. Broward Cnty. Sheriff’s Office</w:t>
      </w:r>
      <w:r>
        <w:rPr>
          <w:rFonts w:ascii="Times New Roman" w:eastAsia="Arial" w:hAnsi="Times New Roman" w:cs="Times New Roman"/>
          <w:sz w:val="26"/>
          <w:szCs w:val="26"/>
        </w:rPr>
        <w:t>, 631 F.3d 1307, 1309-10 (11</w:t>
      </w:r>
      <w:r w:rsidRPr="00480125">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2011) (per curiam) (noting that an FMLA retaliation plaintiff has an increased burden of proving causal nexus that an interference plaintiff does not have).</w:t>
      </w:r>
    </w:p>
    <w:p w:rsidR="000B630A" w:rsidRDefault="000B630A" w:rsidP="0034345F">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 and Defenses</w:t>
      </w:r>
    </w:p>
    <w:bookmarkStart w:id="0" w:name="_GoBack"/>
    <w:p w:rsidR="000B630A" w:rsidRDefault="000B630A" w:rsidP="0034345F">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 Common to Interference and Retaliation Claims</w:t>
      </w:r>
    </w:p>
    <w:bookmarkEnd w:id="0"/>
    <w:p w:rsidR="000B630A"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To prevail on an FMLA interference claim or an FMLA retaliation claim, the plaintiff must be eligible for FMLA leave, be entitled for FMLA leave, and give the employer proper notice of the need for FMLA leave. For a discussion of these elements, please see the annotations and comments following Pattern Instruction 4.15,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p w:rsidR="000B630A" w:rsidRPr="00B563D0"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“pre-eligible” employee may state an interference claim based on interference with “post-eligibility” FMLA leave. </w:t>
      </w:r>
      <w:r>
        <w:rPr>
          <w:rFonts w:ascii="Times New Roman" w:eastAsia="Arial" w:hAnsi="Times New Roman" w:cs="Times New Roman"/>
          <w:i/>
          <w:sz w:val="26"/>
          <w:szCs w:val="26"/>
        </w:rPr>
        <w:t>Pereda v. Brookdale Senior Living Cmtys., Inc.</w:t>
      </w:r>
      <w:r>
        <w:rPr>
          <w:rFonts w:ascii="Times New Roman" w:eastAsia="Arial" w:hAnsi="Times New Roman" w:cs="Times New Roman"/>
          <w:sz w:val="26"/>
          <w:szCs w:val="26"/>
        </w:rPr>
        <w:t>, 666 F.3d 1269, 1275 (11</w:t>
      </w:r>
      <w:r w:rsidRPr="00B563D0">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2012) (holding that “a pre-eligible employee has a cause of action if an employer terminates her in order to avoid having to accommodate that </w:t>
      </w:r>
      <w:r>
        <w:rPr>
          <w:rFonts w:ascii="Times New Roman" w:eastAsia="Arial" w:hAnsi="Times New Roman" w:cs="Times New Roman"/>
          <w:sz w:val="26"/>
          <w:szCs w:val="26"/>
        </w:rPr>
        <w:lastRenderedPageBreak/>
        <w:t>employee with rightful FMLA leave rights once that employee becomes eligible”).</w:t>
      </w:r>
    </w:p>
    <w:p w:rsidR="000B630A" w:rsidRDefault="000B630A" w:rsidP="0034345F">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“Lack of Causation” Affirmative Defense</w:t>
      </w:r>
    </w:p>
    <w:p w:rsidR="000B630A" w:rsidRPr="00B563D0"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To prove an FMLA interference claim, a plaintiff does not have to prove a “causal nexus” between the FMLA leave and the employer’s action. </w:t>
      </w:r>
      <w:r>
        <w:rPr>
          <w:rFonts w:ascii="Times New Roman" w:eastAsia="Arial" w:hAnsi="Times New Roman" w:cs="Times New Roman"/>
          <w:i/>
          <w:sz w:val="26"/>
          <w:szCs w:val="26"/>
        </w:rPr>
        <w:t>Spakes v. Broward Cnty. Sheriff’s Office</w:t>
      </w:r>
      <w:r>
        <w:rPr>
          <w:rFonts w:ascii="Times New Roman" w:eastAsia="Arial" w:hAnsi="Times New Roman" w:cs="Times New Roman"/>
          <w:sz w:val="26"/>
          <w:szCs w:val="26"/>
        </w:rPr>
        <w:t>, 631 F.3d 1307, 1309-10 (11</w:t>
      </w:r>
      <w:r w:rsidRPr="00B563D0">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2011). Rather, the plaintiff must prove “that he was denied a benefit to which he was entitled under the FMLA.”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1309. “[T]he causal nexus element is the “increased burden” that a retaliation plaintiff faces that an interference plaintiff does not.”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1310. Eleventh Circuit “cases make clear that a causal nexus is not an element of an interference claim, but that the employer can raise the lack of causation as an affirmative defense.” </w:t>
      </w: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at 1310. Therefore, if the employee alleges that the employer interfered with the employee’s FMLA rights, the employer may prevail if it shows that the employer would have taken the same action – such as refusing to reinstate the employee following FMLA leave – even if the employee had not taken FMLA leave. </w:t>
      </w:r>
      <w:r>
        <w:rPr>
          <w:rFonts w:ascii="Times New Roman" w:eastAsia="Arial" w:hAnsi="Times New Roman" w:cs="Times New Roman"/>
          <w:i/>
          <w:sz w:val="26"/>
          <w:szCs w:val="26"/>
        </w:rPr>
        <w:t>Id.; accord Schaaf v. Smithkline Beecham Corp.</w:t>
      </w:r>
      <w:r>
        <w:rPr>
          <w:rFonts w:ascii="Times New Roman" w:eastAsia="Arial" w:hAnsi="Times New Roman" w:cs="Times New Roman"/>
          <w:sz w:val="26"/>
          <w:szCs w:val="26"/>
        </w:rPr>
        <w:t>, 602 F.3d 1236, 1241 (11</w:t>
      </w:r>
      <w:r w:rsidRPr="00B563D0">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2010); </w:t>
      </w:r>
      <w:r>
        <w:rPr>
          <w:rFonts w:ascii="Times New Roman" w:eastAsia="Arial" w:hAnsi="Times New Roman" w:cs="Times New Roman"/>
          <w:i/>
          <w:sz w:val="26"/>
          <w:szCs w:val="26"/>
        </w:rPr>
        <w:t>Strickland v. Water Works &amp; Sewer Bd.</w:t>
      </w:r>
      <w:r>
        <w:rPr>
          <w:rFonts w:ascii="Times New Roman" w:eastAsia="Arial" w:hAnsi="Times New Roman" w:cs="Times New Roman"/>
          <w:sz w:val="26"/>
          <w:szCs w:val="26"/>
        </w:rPr>
        <w:t>, 239 F.3d 1199, 1208 (11</w:t>
      </w:r>
      <w:r w:rsidRPr="00B563D0">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(“[I]f an employer can show that it refused to reinstate the employee for a reason wholly unrelated to the FMLA leave, the employer is not liable.”).</w:t>
      </w:r>
    </w:p>
    <w:p w:rsidR="000B630A" w:rsidRDefault="000B630A" w:rsidP="0034345F">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725167" w:rsidRPr="000B630A" w:rsidRDefault="000B630A" w:rsidP="0034345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For a discussion of the remedies available to a plaintiff who prevails on an FMLA claim, please see the annotations and comments following Pattern Instruction 4.15,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sectPr w:rsidR="00725167" w:rsidRPr="000B630A" w:rsidSect="00EE6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05" w:rsidRDefault="006B5105" w:rsidP="006B5105">
      <w:pPr>
        <w:spacing w:after="0" w:line="240" w:lineRule="auto"/>
      </w:pPr>
      <w:r>
        <w:separator/>
      </w:r>
    </w:p>
  </w:endnote>
  <w:endnote w:type="continuationSeparator" w:id="0">
    <w:p w:rsidR="006B5105" w:rsidRDefault="006B5105" w:rsidP="006B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05" w:rsidRDefault="006B5105" w:rsidP="006B5105">
      <w:pPr>
        <w:spacing w:after="0" w:line="240" w:lineRule="auto"/>
      </w:pPr>
      <w:r>
        <w:separator/>
      </w:r>
    </w:p>
  </w:footnote>
  <w:footnote w:type="continuationSeparator" w:id="0">
    <w:p w:rsidR="006B5105" w:rsidRDefault="006B5105" w:rsidP="006B5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14B03"/>
    <w:rsid w:val="000427AF"/>
    <w:rsid w:val="000A1DB0"/>
    <w:rsid w:val="000B630A"/>
    <w:rsid w:val="001259E6"/>
    <w:rsid w:val="00251CEE"/>
    <w:rsid w:val="00254AC9"/>
    <w:rsid w:val="002B4F30"/>
    <w:rsid w:val="00311AF4"/>
    <w:rsid w:val="0034345F"/>
    <w:rsid w:val="0036555D"/>
    <w:rsid w:val="0037222E"/>
    <w:rsid w:val="00433802"/>
    <w:rsid w:val="00441E63"/>
    <w:rsid w:val="00442B35"/>
    <w:rsid w:val="00466BD3"/>
    <w:rsid w:val="004B2337"/>
    <w:rsid w:val="00570E3C"/>
    <w:rsid w:val="005864C9"/>
    <w:rsid w:val="005A79FA"/>
    <w:rsid w:val="005D54AE"/>
    <w:rsid w:val="006510F2"/>
    <w:rsid w:val="006B5105"/>
    <w:rsid w:val="006F7D0E"/>
    <w:rsid w:val="00725167"/>
    <w:rsid w:val="00770F0A"/>
    <w:rsid w:val="0081575C"/>
    <w:rsid w:val="00834C92"/>
    <w:rsid w:val="008763ED"/>
    <w:rsid w:val="00947DFB"/>
    <w:rsid w:val="00A0627E"/>
    <w:rsid w:val="00A33B62"/>
    <w:rsid w:val="00A36A17"/>
    <w:rsid w:val="00A63B3A"/>
    <w:rsid w:val="00B129D9"/>
    <w:rsid w:val="00BB5464"/>
    <w:rsid w:val="00C22051"/>
    <w:rsid w:val="00C265BC"/>
    <w:rsid w:val="00C61B2E"/>
    <w:rsid w:val="00CA5FD3"/>
    <w:rsid w:val="00D00EFE"/>
    <w:rsid w:val="00D31BDF"/>
    <w:rsid w:val="00DB540E"/>
    <w:rsid w:val="00DC18AE"/>
    <w:rsid w:val="00DC7A5D"/>
    <w:rsid w:val="00DF7655"/>
    <w:rsid w:val="00E235C8"/>
    <w:rsid w:val="00E25B2E"/>
    <w:rsid w:val="00E263A0"/>
    <w:rsid w:val="00E64928"/>
    <w:rsid w:val="00EA447E"/>
    <w:rsid w:val="00EB49C0"/>
    <w:rsid w:val="00EB654A"/>
    <w:rsid w:val="00EE428C"/>
    <w:rsid w:val="00E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6B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05"/>
  </w:style>
  <w:style w:type="paragraph" w:styleId="Footer">
    <w:name w:val="footer"/>
    <w:basedOn w:val="Normal"/>
    <w:link w:val="FooterChar"/>
    <w:uiPriority w:val="99"/>
    <w:unhideWhenUsed/>
    <w:rsid w:val="006B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6B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05"/>
  </w:style>
  <w:style w:type="paragraph" w:styleId="Footer">
    <w:name w:val="footer"/>
    <w:basedOn w:val="Normal"/>
    <w:link w:val="FooterChar"/>
    <w:uiPriority w:val="99"/>
    <w:unhideWhenUsed/>
    <w:rsid w:val="006B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2014-06-09T15:42:00Z</dcterms:created>
  <dcterms:modified xsi:type="dcterms:W3CDTF">2014-06-19T18:52:00Z</dcterms:modified>
</cp:coreProperties>
</file>