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28" w:rsidRDefault="00CB5C28" w:rsidP="009440BE">
      <w:pPr>
        <w:spacing w:after="240" w:line="240" w:lineRule="auto"/>
        <w:jc w:val="both"/>
        <w:rPr>
          <w:rFonts w:ascii="Times New Roman" w:eastAsia="Arial" w:hAnsi="Times New Roman" w:cs="Times New Roman"/>
          <w:sz w:val="26"/>
          <w:szCs w:val="26"/>
        </w:rPr>
      </w:pPr>
      <w:bookmarkStart w:id="0" w:name="_GoBack"/>
      <w:r>
        <w:rPr>
          <w:rFonts w:ascii="Times New Roman" w:eastAsia="Arial" w:hAnsi="Times New Roman" w:cs="Times New Roman"/>
          <w:b/>
          <w:sz w:val="26"/>
          <w:szCs w:val="26"/>
          <w:u w:val="single"/>
        </w:rPr>
        <w:t>ANNOTATIONS AND COMMENTS</w:t>
      </w:r>
    </w:p>
    <w:p w:rsidR="00CB5C28" w:rsidRPr="003C5AD6" w:rsidRDefault="00CB5C28" w:rsidP="009440BE">
      <w:pPr>
        <w:spacing w:after="240" w:line="240" w:lineRule="auto"/>
        <w:ind w:firstLine="720"/>
        <w:jc w:val="both"/>
        <w:rPr>
          <w:rFonts w:ascii="Times New Roman" w:eastAsia="Arial" w:hAnsi="Times New Roman" w:cs="Times New Roman"/>
          <w:sz w:val="26"/>
          <w:szCs w:val="26"/>
        </w:rPr>
      </w:pPr>
      <w:r w:rsidRPr="003C5AD6">
        <w:rPr>
          <w:rFonts w:ascii="Times New Roman" w:eastAsia="Arial" w:hAnsi="Times New Roman" w:cs="Times New Roman"/>
          <w:sz w:val="26"/>
          <w:szCs w:val="26"/>
        </w:rPr>
        <w:fldChar w:fldCharType="begin"/>
      </w:r>
      <w:r w:rsidRPr="003C5AD6">
        <w:rPr>
          <w:rFonts w:ascii="Times New Roman" w:eastAsia="Arial" w:hAnsi="Times New Roman" w:cs="Times New Roman"/>
          <w:sz w:val="26"/>
          <w:szCs w:val="26"/>
        </w:rPr>
        <w:instrText xml:space="preserve"> SEQ CHAPTER \h \r 1</w:instrText>
      </w:r>
      <w:r w:rsidRPr="003C5AD6">
        <w:rPr>
          <w:rFonts w:ascii="Times New Roman" w:eastAsia="Arial" w:hAnsi="Times New Roman" w:cs="Times New Roman"/>
          <w:sz w:val="26"/>
          <w:szCs w:val="26"/>
        </w:rPr>
        <w:fldChar w:fldCharType="end"/>
      </w:r>
      <w:r w:rsidRPr="003C5AD6">
        <w:rPr>
          <w:rFonts w:ascii="Times New Roman" w:eastAsia="Arial" w:hAnsi="Times New Roman" w:cs="Times New Roman"/>
          <w:sz w:val="26"/>
          <w:szCs w:val="26"/>
        </w:rPr>
        <w:t xml:space="preserve">This jury instruction applies when an employee or former employee files a hybrid breach of contract - breach of duty of fair representation suit against the employer and union, such as in </w:t>
      </w:r>
      <w:r w:rsidRPr="003C5AD6">
        <w:rPr>
          <w:rFonts w:ascii="Times New Roman" w:eastAsia="Arial" w:hAnsi="Times New Roman" w:cs="Times New Roman"/>
          <w:i/>
          <w:sz w:val="26"/>
          <w:szCs w:val="26"/>
        </w:rPr>
        <w:t>Vaca v. Sipes</w:t>
      </w:r>
      <w:r w:rsidRPr="003C5AD6">
        <w:rPr>
          <w:rFonts w:ascii="Times New Roman" w:eastAsia="Arial" w:hAnsi="Times New Roman" w:cs="Times New Roman"/>
          <w:sz w:val="26"/>
          <w:szCs w:val="26"/>
        </w:rPr>
        <w:t xml:space="preserve">, 386 U.S. 171 (1967). </w:t>
      </w:r>
      <w:r w:rsidRPr="003C5AD6">
        <w:rPr>
          <w:rFonts w:ascii="Times New Roman" w:eastAsia="Arial" w:hAnsi="Times New Roman" w:cs="Times New Roman"/>
          <w:i/>
          <w:sz w:val="26"/>
          <w:szCs w:val="26"/>
        </w:rPr>
        <w:t>See also</w:t>
      </w:r>
      <w:r w:rsidRPr="003C5AD6">
        <w:rPr>
          <w:rFonts w:ascii="Times New Roman" w:eastAsia="Arial" w:hAnsi="Times New Roman" w:cs="Times New Roman"/>
          <w:sz w:val="26"/>
          <w:szCs w:val="26"/>
        </w:rPr>
        <w:t xml:space="preserve"> Labor Management Relations Act § 301, 29 U.S.C. § 185. A plaintiff may decide to sue one defendant and not the other. </w:t>
      </w:r>
      <w:r w:rsidRPr="003C5AD6">
        <w:rPr>
          <w:rFonts w:ascii="Times New Roman" w:eastAsia="Arial" w:hAnsi="Times New Roman" w:cs="Times New Roman"/>
          <w:i/>
          <w:sz w:val="26"/>
          <w:szCs w:val="26"/>
        </w:rPr>
        <w:t>See generally Diaz v. Schwerman Trucking Co.</w:t>
      </w:r>
      <w:r w:rsidRPr="003C5AD6">
        <w:rPr>
          <w:rFonts w:ascii="Times New Roman" w:eastAsia="Arial" w:hAnsi="Times New Roman" w:cs="Times New Roman"/>
          <w:sz w:val="26"/>
          <w:szCs w:val="26"/>
        </w:rPr>
        <w:t xml:space="preserve">, </w:t>
      </w:r>
      <w:r>
        <w:rPr>
          <w:rFonts w:ascii="Times New Roman" w:eastAsia="Arial" w:hAnsi="Times New Roman" w:cs="Times New Roman"/>
          <w:sz w:val="26"/>
          <w:szCs w:val="26"/>
        </w:rPr>
        <w:t>709 F.2d 1371, 1375-76 (11</w:t>
      </w:r>
      <w:r w:rsidRPr="003C5AD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3C5AD6">
        <w:rPr>
          <w:rFonts w:ascii="Times New Roman" w:eastAsia="Arial" w:hAnsi="Times New Roman" w:cs="Times New Roman"/>
          <w:sz w:val="26"/>
          <w:szCs w:val="26"/>
        </w:rPr>
        <w:t xml:space="preserve">Cir. 1983) (per curiam); </w:t>
      </w:r>
      <w:r w:rsidRPr="003C5AD6">
        <w:rPr>
          <w:rFonts w:ascii="Times New Roman" w:eastAsia="Arial" w:hAnsi="Times New Roman" w:cs="Times New Roman"/>
          <w:i/>
          <w:sz w:val="26"/>
          <w:szCs w:val="26"/>
        </w:rPr>
        <w:t>see also Chauffeurs, Teamsters and Helpers, Local No. 391 v. Terry</w:t>
      </w:r>
      <w:r w:rsidRPr="003C5AD6">
        <w:rPr>
          <w:rFonts w:ascii="Times New Roman" w:eastAsia="Arial" w:hAnsi="Times New Roman" w:cs="Times New Roman"/>
          <w:sz w:val="26"/>
          <w:szCs w:val="26"/>
        </w:rPr>
        <w:t>, 494 U.S. 558, 564 (1990) (“Because most collective-bargaining agreements accord finality to grievance or arbitration procedures</w:t>
      </w:r>
      <w:r>
        <w:rPr>
          <w:rFonts w:ascii="Times New Roman" w:eastAsia="Arial" w:hAnsi="Times New Roman" w:cs="Times New Roman"/>
          <w:sz w:val="26"/>
          <w:szCs w:val="26"/>
        </w:rPr>
        <w:t xml:space="preserve">… </w:t>
      </w:r>
      <w:r w:rsidRPr="003C5AD6">
        <w:rPr>
          <w:rFonts w:ascii="Times New Roman" w:eastAsia="Arial" w:hAnsi="Times New Roman" w:cs="Times New Roman"/>
          <w:sz w:val="26"/>
          <w:szCs w:val="26"/>
        </w:rPr>
        <w:t>an employee normally cannot bring a § 301 action against an employer unless he can show that the union breached its duty of fair representation in its handling of his grievance.”).</w:t>
      </w:r>
    </w:p>
    <w:p w:rsidR="00CB5C28" w:rsidRPr="003C5AD6" w:rsidRDefault="00CB5C28" w:rsidP="009440BE">
      <w:pPr>
        <w:spacing w:after="240" w:line="240" w:lineRule="auto"/>
        <w:ind w:firstLine="720"/>
        <w:jc w:val="both"/>
        <w:rPr>
          <w:rFonts w:ascii="Times New Roman" w:eastAsia="Arial" w:hAnsi="Times New Roman" w:cs="Times New Roman"/>
          <w:sz w:val="26"/>
          <w:szCs w:val="26"/>
        </w:rPr>
      </w:pPr>
      <w:r w:rsidRPr="003C5AD6">
        <w:rPr>
          <w:rFonts w:ascii="Times New Roman" w:eastAsia="Arial" w:hAnsi="Times New Roman" w:cs="Times New Roman"/>
          <w:sz w:val="26"/>
          <w:szCs w:val="26"/>
        </w:rPr>
        <w:t xml:space="preserve">Unions have broad discretion in deciding whether to prosecute a grievance, subject only to the duty of fair representation. </w:t>
      </w:r>
      <w:r w:rsidRPr="003C5AD6">
        <w:rPr>
          <w:rFonts w:ascii="Times New Roman" w:eastAsia="Arial" w:hAnsi="Times New Roman" w:cs="Times New Roman"/>
          <w:i/>
          <w:sz w:val="26"/>
          <w:szCs w:val="26"/>
        </w:rPr>
        <w:t>Turner v. Air Transp. Dispatchers’ Ass</w:t>
      </w:r>
      <w:r>
        <w:rPr>
          <w:rFonts w:ascii="Times New Roman" w:eastAsia="Arial" w:hAnsi="Times New Roman" w:cs="Times New Roman"/>
          <w:i/>
          <w:sz w:val="26"/>
          <w:szCs w:val="26"/>
        </w:rPr>
        <w:t>’n</w:t>
      </w:r>
      <w:r w:rsidRPr="003C5AD6">
        <w:rPr>
          <w:rFonts w:ascii="Times New Roman" w:eastAsia="Arial" w:hAnsi="Times New Roman" w:cs="Times New Roman"/>
          <w:sz w:val="26"/>
          <w:szCs w:val="26"/>
        </w:rPr>
        <w:t>, 468 F.2d 297, 300 (</w:t>
      </w:r>
      <w:r>
        <w:rPr>
          <w:rFonts w:ascii="Times New Roman" w:eastAsia="Arial" w:hAnsi="Times New Roman" w:cs="Times New Roman"/>
          <w:sz w:val="26"/>
          <w:szCs w:val="26"/>
        </w:rPr>
        <w:t>5</w:t>
      </w:r>
      <w:r w:rsidRPr="003C5AD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3C5AD6">
        <w:rPr>
          <w:rFonts w:ascii="Times New Roman" w:eastAsia="Arial" w:hAnsi="Times New Roman" w:cs="Times New Roman"/>
          <w:sz w:val="26"/>
          <w:szCs w:val="26"/>
        </w:rPr>
        <w:t xml:space="preserve">Cir. 1972). In deciding whether to prosecute a grievance, the union may consider tactical and strategic factors such as its limited resources and consequent need to establish priorities, as well as its desire to maintain harmonious relations among the workers and between the workers and the employer. </w:t>
      </w:r>
      <w:r w:rsidRPr="003C5AD6">
        <w:rPr>
          <w:rFonts w:ascii="Times New Roman" w:eastAsia="Arial" w:hAnsi="Times New Roman" w:cs="Times New Roman"/>
          <w:i/>
          <w:sz w:val="26"/>
          <w:szCs w:val="26"/>
        </w:rPr>
        <w:t>Pryner v. Tractor Supply Co.</w:t>
      </w:r>
      <w:r w:rsidRPr="003C5AD6">
        <w:rPr>
          <w:rFonts w:ascii="Times New Roman" w:eastAsia="Arial" w:hAnsi="Times New Roman" w:cs="Times New Roman"/>
          <w:sz w:val="26"/>
          <w:szCs w:val="26"/>
        </w:rPr>
        <w:t>, 109 F.3d 354, 362 (</w:t>
      </w:r>
      <w:r>
        <w:rPr>
          <w:rFonts w:ascii="Times New Roman" w:eastAsia="Arial" w:hAnsi="Times New Roman" w:cs="Times New Roman"/>
          <w:sz w:val="26"/>
          <w:szCs w:val="26"/>
        </w:rPr>
        <w:t>7</w:t>
      </w:r>
      <w:r w:rsidRPr="003C5AD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3C5AD6">
        <w:rPr>
          <w:rFonts w:ascii="Times New Roman" w:eastAsia="Arial" w:hAnsi="Times New Roman" w:cs="Times New Roman"/>
          <w:sz w:val="26"/>
          <w:szCs w:val="26"/>
        </w:rPr>
        <w:t>Cir. 1997).</w:t>
      </w:r>
    </w:p>
    <w:p w:rsidR="00CB5C28" w:rsidRPr="003C5AD6" w:rsidRDefault="00CB5C28" w:rsidP="009440BE">
      <w:pPr>
        <w:spacing w:after="240" w:line="240" w:lineRule="auto"/>
        <w:ind w:firstLine="720"/>
        <w:jc w:val="both"/>
        <w:rPr>
          <w:rFonts w:ascii="Times New Roman" w:eastAsia="Arial" w:hAnsi="Times New Roman" w:cs="Times New Roman"/>
          <w:sz w:val="26"/>
          <w:szCs w:val="26"/>
        </w:rPr>
      </w:pPr>
      <w:r w:rsidRPr="003C5AD6">
        <w:rPr>
          <w:rFonts w:ascii="Times New Roman" w:eastAsia="Arial" w:hAnsi="Times New Roman" w:cs="Times New Roman"/>
          <w:sz w:val="26"/>
          <w:szCs w:val="26"/>
        </w:rPr>
        <w:t xml:space="preserve">In </w:t>
      </w:r>
      <w:r w:rsidRPr="003C5AD6">
        <w:rPr>
          <w:rFonts w:ascii="Times New Roman" w:eastAsia="Arial" w:hAnsi="Times New Roman" w:cs="Times New Roman"/>
          <w:i/>
          <w:sz w:val="26"/>
          <w:szCs w:val="26"/>
        </w:rPr>
        <w:t>Air Line Pilots Association International v. O’Neill</w:t>
      </w:r>
      <w:r w:rsidRPr="003C5AD6">
        <w:rPr>
          <w:rFonts w:ascii="Times New Roman" w:eastAsia="Arial" w:hAnsi="Times New Roman" w:cs="Times New Roman"/>
          <w:sz w:val="26"/>
          <w:szCs w:val="26"/>
        </w:rPr>
        <w:t xml:space="preserve">, 499 U.S. 65 (1991), the Court extended a union’s duty of fair representation to include “all union activity, including contract negotiation.” </w:t>
      </w:r>
      <w:r w:rsidRPr="003C5AD6">
        <w:rPr>
          <w:rFonts w:ascii="Times New Roman" w:eastAsia="Arial" w:hAnsi="Times New Roman" w:cs="Times New Roman"/>
          <w:i/>
          <w:sz w:val="26"/>
          <w:szCs w:val="26"/>
        </w:rPr>
        <w:t>Id</w:t>
      </w:r>
      <w:r w:rsidRPr="003C5AD6">
        <w:rPr>
          <w:rFonts w:ascii="Times New Roman" w:eastAsia="Arial" w:hAnsi="Times New Roman" w:cs="Times New Roman"/>
          <w:sz w:val="26"/>
          <w:szCs w:val="26"/>
        </w:rPr>
        <w:t xml:space="preserve">. at 67. The Court further defined breach of the duty of fair representation to include union actions which are either “arbitrary, discriminatory, or in bad faith,” and ruled that “a union’s actions are arbitrary only if, in light of the factual and legal landscape at the time of the union’s actions, the union’s behavior is so far outside a ‘wide range of reasonableness,’ as to be irrational.” </w:t>
      </w:r>
      <w:r w:rsidRPr="003C5AD6">
        <w:rPr>
          <w:rFonts w:ascii="Times New Roman" w:eastAsia="Arial" w:hAnsi="Times New Roman" w:cs="Times New Roman"/>
          <w:i/>
          <w:sz w:val="26"/>
          <w:szCs w:val="26"/>
        </w:rPr>
        <w:t>Id</w:t>
      </w:r>
      <w:r w:rsidRPr="003C5AD6">
        <w:rPr>
          <w:rFonts w:ascii="Times New Roman" w:eastAsia="Arial" w:hAnsi="Times New Roman" w:cs="Times New Roman"/>
          <w:sz w:val="26"/>
          <w:szCs w:val="26"/>
        </w:rPr>
        <w:t xml:space="preserve">. (quoting </w:t>
      </w:r>
      <w:r w:rsidRPr="003C5AD6">
        <w:rPr>
          <w:rFonts w:ascii="Times New Roman" w:eastAsia="Arial" w:hAnsi="Times New Roman" w:cs="Times New Roman"/>
          <w:i/>
          <w:sz w:val="26"/>
          <w:szCs w:val="26"/>
        </w:rPr>
        <w:t>Ford Motor Co. v. Huffman</w:t>
      </w:r>
      <w:r w:rsidRPr="003C5AD6">
        <w:rPr>
          <w:rFonts w:ascii="Times New Roman" w:eastAsia="Arial" w:hAnsi="Times New Roman" w:cs="Times New Roman"/>
          <w:sz w:val="26"/>
          <w:szCs w:val="26"/>
        </w:rPr>
        <w:t>, 345 U.S. 330, 338 (1953)).</w:t>
      </w:r>
    </w:p>
    <w:p w:rsidR="00CB5C28" w:rsidRPr="003C5AD6" w:rsidRDefault="00CB5C28" w:rsidP="009440BE">
      <w:pPr>
        <w:spacing w:after="240" w:line="240" w:lineRule="auto"/>
        <w:ind w:firstLine="720"/>
        <w:jc w:val="both"/>
        <w:rPr>
          <w:rFonts w:ascii="Times New Roman" w:eastAsia="Arial" w:hAnsi="Times New Roman" w:cs="Times New Roman"/>
          <w:sz w:val="26"/>
          <w:szCs w:val="26"/>
        </w:rPr>
      </w:pPr>
      <w:r w:rsidRPr="003C5AD6">
        <w:rPr>
          <w:rFonts w:ascii="Times New Roman" w:eastAsia="Arial" w:hAnsi="Times New Roman" w:cs="Times New Roman"/>
          <w:sz w:val="26"/>
          <w:szCs w:val="26"/>
        </w:rPr>
        <w:t xml:space="preserve">Bad faith on the part of the union “requires a showing of fraud, deceitful action or dishonest action.” </w:t>
      </w:r>
      <w:r w:rsidRPr="003C5AD6">
        <w:rPr>
          <w:rFonts w:ascii="Times New Roman" w:eastAsia="Arial" w:hAnsi="Times New Roman" w:cs="Times New Roman"/>
          <w:i/>
          <w:sz w:val="26"/>
          <w:szCs w:val="26"/>
        </w:rPr>
        <w:t>Mock v. T.G. &amp; Y. Stores Co.</w:t>
      </w:r>
      <w:r w:rsidRPr="003C5AD6">
        <w:rPr>
          <w:rFonts w:ascii="Times New Roman" w:eastAsia="Arial" w:hAnsi="Times New Roman" w:cs="Times New Roman"/>
          <w:sz w:val="26"/>
          <w:szCs w:val="26"/>
        </w:rPr>
        <w:t>, 971 F.2d 522, 531 (</w:t>
      </w:r>
      <w:r>
        <w:rPr>
          <w:rFonts w:ascii="Times New Roman" w:eastAsia="Arial" w:hAnsi="Times New Roman" w:cs="Times New Roman"/>
          <w:sz w:val="26"/>
          <w:szCs w:val="26"/>
        </w:rPr>
        <w:t>10</w:t>
      </w:r>
      <w:r w:rsidRPr="003C5AD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3C5AD6">
        <w:rPr>
          <w:rFonts w:ascii="Times New Roman" w:eastAsia="Arial" w:hAnsi="Times New Roman" w:cs="Times New Roman"/>
          <w:sz w:val="26"/>
          <w:szCs w:val="26"/>
        </w:rPr>
        <w:t xml:space="preserve">Cir. 1992) (citing </w:t>
      </w:r>
      <w:r w:rsidRPr="003C5AD6">
        <w:rPr>
          <w:rFonts w:ascii="Times New Roman" w:eastAsia="Arial" w:hAnsi="Times New Roman" w:cs="Times New Roman"/>
          <w:i/>
          <w:sz w:val="26"/>
          <w:szCs w:val="26"/>
        </w:rPr>
        <w:t>Motor Coach Emps. v. Lockridge</w:t>
      </w:r>
      <w:r>
        <w:rPr>
          <w:rFonts w:ascii="Times New Roman" w:eastAsia="Arial" w:hAnsi="Times New Roman" w:cs="Times New Roman"/>
          <w:sz w:val="26"/>
          <w:szCs w:val="26"/>
        </w:rPr>
        <w:t xml:space="preserve">, 403 U.S. 274, 299 (1971)). </w:t>
      </w:r>
      <w:r w:rsidRPr="003C5AD6">
        <w:rPr>
          <w:rFonts w:ascii="Times New Roman" w:eastAsia="Arial" w:hAnsi="Times New Roman" w:cs="Times New Roman"/>
          <w:sz w:val="26"/>
          <w:szCs w:val="26"/>
        </w:rPr>
        <w:t xml:space="preserve">Personal hostility is not enough to establish unfair representation if the representation was adequate and there is no evidence that the personal hostility tainted the union’s actions. </w:t>
      </w:r>
      <w:r w:rsidRPr="003C5AD6">
        <w:rPr>
          <w:rFonts w:ascii="Times New Roman" w:eastAsia="Arial" w:hAnsi="Times New Roman" w:cs="Times New Roman"/>
          <w:i/>
          <w:sz w:val="26"/>
          <w:szCs w:val="26"/>
        </w:rPr>
        <w:t>Freeman v. O’Neal Steel, Inc.</w:t>
      </w:r>
      <w:r w:rsidRPr="003C5AD6">
        <w:rPr>
          <w:rFonts w:ascii="Times New Roman" w:eastAsia="Arial" w:hAnsi="Times New Roman" w:cs="Times New Roman"/>
          <w:sz w:val="26"/>
          <w:szCs w:val="26"/>
        </w:rPr>
        <w:t>, 609 F.2d 1123, 1127-28 (</w:t>
      </w:r>
      <w:r>
        <w:rPr>
          <w:rFonts w:ascii="Times New Roman" w:eastAsia="Arial" w:hAnsi="Times New Roman" w:cs="Times New Roman"/>
          <w:sz w:val="26"/>
          <w:szCs w:val="26"/>
        </w:rPr>
        <w:t>5</w:t>
      </w:r>
      <w:r w:rsidRPr="003C5AD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3C5AD6">
        <w:rPr>
          <w:rFonts w:ascii="Times New Roman" w:eastAsia="Arial" w:hAnsi="Times New Roman" w:cs="Times New Roman"/>
          <w:sz w:val="26"/>
          <w:szCs w:val="26"/>
        </w:rPr>
        <w:t xml:space="preserve">Cir. 1980); </w:t>
      </w:r>
      <w:r w:rsidRPr="003C5AD6">
        <w:rPr>
          <w:rFonts w:ascii="Times New Roman" w:eastAsia="Arial" w:hAnsi="Times New Roman" w:cs="Times New Roman"/>
          <w:i/>
          <w:sz w:val="26"/>
          <w:szCs w:val="26"/>
        </w:rPr>
        <w:t>accord VanDerVeer v. United Parcel Serv., Inc.</w:t>
      </w:r>
      <w:r w:rsidRPr="003C5AD6">
        <w:rPr>
          <w:rFonts w:ascii="Times New Roman" w:eastAsia="Arial" w:hAnsi="Times New Roman" w:cs="Times New Roman"/>
          <w:sz w:val="26"/>
          <w:szCs w:val="26"/>
        </w:rPr>
        <w:t>, 25 F.3d 403, 405 (</w:t>
      </w:r>
      <w:r>
        <w:rPr>
          <w:rFonts w:ascii="Times New Roman" w:eastAsia="Arial" w:hAnsi="Times New Roman" w:cs="Times New Roman"/>
          <w:sz w:val="26"/>
          <w:szCs w:val="26"/>
        </w:rPr>
        <w:t>6</w:t>
      </w:r>
      <w:r w:rsidRPr="003C5AD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3C5AD6">
        <w:rPr>
          <w:rFonts w:ascii="Times New Roman" w:eastAsia="Arial" w:hAnsi="Times New Roman" w:cs="Times New Roman"/>
          <w:sz w:val="26"/>
          <w:szCs w:val="26"/>
        </w:rPr>
        <w:t xml:space="preserve">Cir. 1994). Mere negligence is never sufficient to sustain a claim for breach of the duty of fair representation. </w:t>
      </w:r>
      <w:r w:rsidRPr="003C5AD6">
        <w:rPr>
          <w:rFonts w:ascii="Times New Roman" w:eastAsia="Arial" w:hAnsi="Times New Roman" w:cs="Times New Roman"/>
          <w:i/>
          <w:sz w:val="26"/>
          <w:szCs w:val="26"/>
        </w:rPr>
        <w:t>Parker v. Connors Steel Co.</w:t>
      </w:r>
      <w:r w:rsidRPr="003C5AD6">
        <w:rPr>
          <w:rFonts w:ascii="Times New Roman" w:eastAsia="Arial" w:hAnsi="Times New Roman" w:cs="Times New Roman"/>
          <w:sz w:val="26"/>
          <w:szCs w:val="26"/>
        </w:rPr>
        <w:t>, 855 F.2d 1510, 1521 (</w:t>
      </w:r>
      <w:r>
        <w:rPr>
          <w:rFonts w:ascii="Times New Roman" w:eastAsia="Arial" w:hAnsi="Times New Roman" w:cs="Times New Roman"/>
          <w:sz w:val="26"/>
          <w:szCs w:val="26"/>
        </w:rPr>
        <w:t>11</w:t>
      </w:r>
      <w:r w:rsidRPr="003C5AD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3C5AD6">
        <w:rPr>
          <w:rFonts w:ascii="Times New Roman" w:eastAsia="Arial" w:hAnsi="Times New Roman" w:cs="Times New Roman"/>
          <w:sz w:val="26"/>
          <w:szCs w:val="26"/>
        </w:rPr>
        <w:t xml:space="preserve">Cir. 1988). </w:t>
      </w:r>
    </w:p>
    <w:p w:rsidR="00CB5C28" w:rsidRPr="003C5AD6" w:rsidRDefault="00CB5C28" w:rsidP="009440BE">
      <w:pPr>
        <w:spacing w:after="240" w:line="240" w:lineRule="auto"/>
        <w:ind w:firstLine="720"/>
        <w:jc w:val="both"/>
        <w:rPr>
          <w:rFonts w:ascii="Times New Roman" w:eastAsia="Arial" w:hAnsi="Times New Roman" w:cs="Times New Roman"/>
          <w:sz w:val="26"/>
          <w:szCs w:val="26"/>
        </w:rPr>
      </w:pPr>
      <w:r w:rsidRPr="003C5AD6">
        <w:rPr>
          <w:rFonts w:ascii="Times New Roman" w:eastAsia="Arial" w:hAnsi="Times New Roman" w:cs="Times New Roman"/>
          <w:sz w:val="26"/>
          <w:szCs w:val="26"/>
        </w:rPr>
        <w:t xml:space="preserve">A union owes the duty of fair representation to all members of its collective bargaining unit, whether or not the employee in question is a union member. </w:t>
      </w:r>
      <w:r w:rsidRPr="003C5AD6">
        <w:rPr>
          <w:rFonts w:ascii="Times New Roman" w:eastAsia="Arial" w:hAnsi="Times New Roman" w:cs="Times New Roman"/>
          <w:i/>
          <w:sz w:val="26"/>
          <w:szCs w:val="26"/>
        </w:rPr>
        <w:t>Sanderson v. Ford Motor Co.</w:t>
      </w:r>
      <w:r w:rsidRPr="003C5AD6">
        <w:rPr>
          <w:rFonts w:ascii="Times New Roman" w:eastAsia="Arial" w:hAnsi="Times New Roman" w:cs="Times New Roman"/>
          <w:sz w:val="26"/>
          <w:szCs w:val="26"/>
        </w:rPr>
        <w:t>, 483 F.2d 102, 109-10 (</w:t>
      </w:r>
      <w:r>
        <w:rPr>
          <w:rFonts w:ascii="Times New Roman" w:eastAsia="Arial" w:hAnsi="Times New Roman" w:cs="Times New Roman"/>
          <w:sz w:val="26"/>
          <w:szCs w:val="26"/>
        </w:rPr>
        <w:t>5</w:t>
      </w:r>
      <w:r w:rsidRPr="003C5AD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3C5AD6">
        <w:rPr>
          <w:rFonts w:ascii="Times New Roman" w:eastAsia="Arial" w:hAnsi="Times New Roman" w:cs="Times New Roman"/>
          <w:sz w:val="26"/>
          <w:szCs w:val="26"/>
        </w:rPr>
        <w:t>Cir. 1973).</w:t>
      </w:r>
    </w:p>
    <w:p w:rsidR="00CB5C28" w:rsidRPr="003C5AD6" w:rsidRDefault="00CB5C28" w:rsidP="009440BE">
      <w:pPr>
        <w:spacing w:after="240" w:line="240" w:lineRule="auto"/>
        <w:ind w:firstLine="720"/>
        <w:jc w:val="both"/>
        <w:rPr>
          <w:rFonts w:ascii="Times New Roman" w:eastAsia="Arial" w:hAnsi="Times New Roman" w:cs="Times New Roman"/>
          <w:sz w:val="26"/>
          <w:szCs w:val="26"/>
        </w:rPr>
      </w:pPr>
      <w:r w:rsidRPr="003C5AD6">
        <w:rPr>
          <w:rFonts w:ascii="Times New Roman" w:eastAsia="Arial" w:hAnsi="Times New Roman" w:cs="Times New Roman"/>
          <w:sz w:val="26"/>
          <w:szCs w:val="26"/>
        </w:rPr>
        <w:t>The limitations period for bringing a hybrid breach of contract</w:t>
      </w:r>
      <w:r>
        <w:rPr>
          <w:rFonts w:ascii="Times New Roman" w:eastAsia="Arial" w:hAnsi="Times New Roman" w:cs="Times New Roman"/>
          <w:sz w:val="26"/>
          <w:szCs w:val="26"/>
        </w:rPr>
        <w:t xml:space="preserve"> – breach </w:t>
      </w:r>
      <w:r w:rsidRPr="003C5AD6">
        <w:rPr>
          <w:rFonts w:ascii="Times New Roman" w:eastAsia="Arial" w:hAnsi="Times New Roman" w:cs="Times New Roman"/>
          <w:sz w:val="26"/>
          <w:szCs w:val="26"/>
        </w:rPr>
        <w:t xml:space="preserve">of the duty </w:t>
      </w:r>
      <w:r w:rsidRPr="003C5AD6">
        <w:rPr>
          <w:rFonts w:ascii="Times New Roman" w:eastAsia="Arial" w:hAnsi="Times New Roman" w:cs="Times New Roman"/>
          <w:sz w:val="26"/>
          <w:szCs w:val="26"/>
        </w:rPr>
        <w:lastRenderedPageBreak/>
        <w:t xml:space="preserve">of fair representation claim is six months from the date of the employer or union’s final action, whichever is later. </w:t>
      </w:r>
      <w:r w:rsidRPr="003C5AD6">
        <w:rPr>
          <w:rFonts w:ascii="Times New Roman" w:eastAsia="Arial" w:hAnsi="Times New Roman" w:cs="Times New Roman"/>
          <w:i/>
          <w:sz w:val="26"/>
          <w:szCs w:val="26"/>
        </w:rPr>
        <w:t>Coppage v. U. S. Postal Serv</w:t>
      </w:r>
      <w:r>
        <w:rPr>
          <w:rFonts w:ascii="Times New Roman" w:eastAsia="Arial" w:hAnsi="Times New Roman" w:cs="Times New Roman"/>
          <w:i/>
          <w:sz w:val="26"/>
          <w:szCs w:val="26"/>
        </w:rPr>
        <w:t>.</w:t>
      </w:r>
      <w:r w:rsidRPr="003C5AD6">
        <w:rPr>
          <w:rFonts w:ascii="Times New Roman" w:eastAsia="Arial" w:hAnsi="Times New Roman" w:cs="Times New Roman"/>
          <w:sz w:val="26"/>
          <w:szCs w:val="26"/>
        </w:rPr>
        <w:t>, 281 F.3d 1200, 1204 (</w:t>
      </w:r>
      <w:r>
        <w:rPr>
          <w:rFonts w:ascii="Times New Roman" w:eastAsia="Arial" w:hAnsi="Times New Roman" w:cs="Times New Roman"/>
          <w:sz w:val="26"/>
          <w:szCs w:val="26"/>
        </w:rPr>
        <w:t>11</w:t>
      </w:r>
      <w:r w:rsidRPr="003C5AD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3C5AD6">
        <w:rPr>
          <w:rFonts w:ascii="Times New Roman" w:eastAsia="Arial" w:hAnsi="Times New Roman" w:cs="Times New Roman"/>
          <w:sz w:val="26"/>
          <w:szCs w:val="26"/>
        </w:rPr>
        <w:t xml:space="preserve">Cir. 2002) (citing </w:t>
      </w:r>
      <w:r w:rsidRPr="003C5AD6">
        <w:rPr>
          <w:rFonts w:ascii="Times New Roman" w:eastAsia="Arial" w:hAnsi="Times New Roman" w:cs="Times New Roman"/>
          <w:i/>
          <w:sz w:val="26"/>
          <w:szCs w:val="26"/>
        </w:rPr>
        <w:t>DelCostello v. Int</w:t>
      </w:r>
      <w:r>
        <w:rPr>
          <w:rFonts w:ascii="Times New Roman" w:eastAsia="Arial" w:hAnsi="Times New Roman" w:cs="Times New Roman"/>
          <w:i/>
          <w:sz w:val="26"/>
          <w:szCs w:val="26"/>
        </w:rPr>
        <w:t>’l</w:t>
      </w:r>
      <w:r w:rsidRPr="003C5AD6">
        <w:rPr>
          <w:rFonts w:ascii="Times New Roman" w:eastAsia="Arial" w:hAnsi="Times New Roman" w:cs="Times New Roman"/>
          <w:i/>
          <w:sz w:val="26"/>
          <w:szCs w:val="26"/>
        </w:rPr>
        <w:t xml:space="preserve"> Bhd. of Teamsters</w:t>
      </w:r>
      <w:r w:rsidRPr="003C5AD6">
        <w:rPr>
          <w:rFonts w:ascii="Times New Roman" w:eastAsia="Arial" w:hAnsi="Times New Roman" w:cs="Times New Roman"/>
          <w:sz w:val="26"/>
          <w:szCs w:val="26"/>
        </w:rPr>
        <w:t>, 462 U.S. 151, 169-71 (1983)).</w:t>
      </w:r>
    </w:p>
    <w:p w:rsidR="00725167" w:rsidRPr="00CB5C28" w:rsidRDefault="00CB5C28" w:rsidP="009440BE">
      <w:pPr>
        <w:spacing w:after="240" w:line="240" w:lineRule="auto"/>
        <w:ind w:firstLine="720"/>
        <w:jc w:val="both"/>
        <w:rPr>
          <w:rFonts w:ascii="Times New Roman" w:eastAsia="Arial" w:hAnsi="Times New Roman" w:cs="Times New Roman"/>
          <w:sz w:val="26"/>
          <w:szCs w:val="26"/>
        </w:rPr>
      </w:pPr>
      <w:r w:rsidRPr="003C5AD6">
        <w:rPr>
          <w:rFonts w:ascii="Times New Roman" w:eastAsia="Arial" w:hAnsi="Times New Roman" w:cs="Times New Roman"/>
          <w:sz w:val="26"/>
          <w:szCs w:val="26"/>
        </w:rPr>
        <w:t xml:space="preserve">Generally, damages are apportioned between the employer and union according to the damage caused by each. </w:t>
      </w:r>
      <w:r w:rsidRPr="003C5AD6">
        <w:rPr>
          <w:rFonts w:ascii="Times New Roman" w:eastAsia="Arial" w:hAnsi="Times New Roman" w:cs="Times New Roman"/>
          <w:i/>
          <w:sz w:val="26"/>
          <w:szCs w:val="26"/>
        </w:rPr>
        <w:t>Vaca v. Sipes</w:t>
      </w:r>
      <w:r w:rsidRPr="003C5AD6">
        <w:rPr>
          <w:rFonts w:ascii="Times New Roman" w:eastAsia="Arial" w:hAnsi="Times New Roman" w:cs="Times New Roman"/>
          <w:sz w:val="26"/>
          <w:szCs w:val="26"/>
        </w:rPr>
        <w:t xml:space="preserve">, 386 U.S. 171, 197-98 (1967). However, joint and several liability may be appropriate where the employer and union actively participated in each other’s breach. </w:t>
      </w:r>
      <w:r w:rsidRPr="003C5AD6">
        <w:rPr>
          <w:rFonts w:ascii="Times New Roman" w:eastAsia="Arial" w:hAnsi="Times New Roman" w:cs="Times New Roman"/>
          <w:i/>
          <w:sz w:val="26"/>
          <w:szCs w:val="26"/>
        </w:rPr>
        <w:t>Lewis v. Tuscan Dairy Farms, Inc.</w:t>
      </w:r>
      <w:r w:rsidRPr="003C5AD6">
        <w:rPr>
          <w:rFonts w:ascii="Times New Roman" w:eastAsia="Arial" w:hAnsi="Times New Roman" w:cs="Times New Roman"/>
          <w:sz w:val="26"/>
          <w:szCs w:val="26"/>
        </w:rPr>
        <w:t>, 25 F.3d 1138, 1145-46 (</w:t>
      </w:r>
      <w:r>
        <w:rPr>
          <w:rFonts w:ascii="Times New Roman" w:eastAsia="Arial" w:hAnsi="Times New Roman" w:cs="Times New Roman"/>
          <w:sz w:val="26"/>
          <w:szCs w:val="26"/>
        </w:rPr>
        <w:t>2</w:t>
      </w:r>
      <w:r w:rsidRPr="003C5AD6">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3C5AD6">
        <w:rPr>
          <w:rFonts w:ascii="Times New Roman" w:eastAsia="Arial" w:hAnsi="Times New Roman" w:cs="Times New Roman"/>
          <w:sz w:val="26"/>
          <w:szCs w:val="26"/>
        </w:rPr>
        <w:t xml:space="preserve">Cir. 1994) (citing </w:t>
      </w:r>
      <w:r w:rsidRPr="003C5AD6">
        <w:rPr>
          <w:rFonts w:ascii="Times New Roman" w:eastAsia="Arial" w:hAnsi="Times New Roman" w:cs="Times New Roman"/>
          <w:i/>
          <w:sz w:val="26"/>
          <w:szCs w:val="26"/>
        </w:rPr>
        <w:t>Vaca</w:t>
      </w:r>
      <w:r w:rsidRPr="003C5AD6">
        <w:rPr>
          <w:rFonts w:ascii="Times New Roman" w:eastAsia="Arial" w:hAnsi="Times New Roman" w:cs="Times New Roman"/>
          <w:sz w:val="26"/>
          <w:szCs w:val="26"/>
        </w:rPr>
        <w:t>, 386 U.S. at 197 n.18).</w:t>
      </w:r>
      <w:bookmarkEnd w:id="0"/>
    </w:p>
    <w:sectPr w:rsidR="00725167" w:rsidRPr="00CB5C28" w:rsidSect="00CB7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E3" w:rsidRDefault="00AF02E3" w:rsidP="00AF02E3">
      <w:pPr>
        <w:spacing w:after="0" w:line="240" w:lineRule="auto"/>
      </w:pPr>
      <w:r>
        <w:separator/>
      </w:r>
    </w:p>
  </w:endnote>
  <w:endnote w:type="continuationSeparator" w:id="0">
    <w:p w:rsidR="00AF02E3" w:rsidRDefault="00AF02E3" w:rsidP="00AF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E3" w:rsidRDefault="00AF02E3" w:rsidP="00AF02E3">
      <w:pPr>
        <w:spacing w:after="0" w:line="240" w:lineRule="auto"/>
      </w:pPr>
      <w:r>
        <w:separator/>
      </w:r>
    </w:p>
  </w:footnote>
  <w:footnote w:type="continuationSeparator" w:id="0">
    <w:p w:rsidR="00AF02E3" w:rsidRDefault="00AF02E3" w:rsidP="00AF0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63"/>
    <w:rsid w:val="00014B03"/>
    <w:rsid w:val="000427AF"/>
    <w:rsid w:val="000A1DB0"/>
    <w:rsid w:val="000B630A"/>
    <w:rsid w:val="001259E6"/>
    <w:rsid w:val="00213DF3"/>
    <w:rsid w:val="00251CEE"/>
    <w:rsid w:val="00254AC9"/>
    <w:rsid w:val="002B4F30"/>
    <w:rsid w:val="00311AF4"/>
    <w:rsid w:val="0036555D"/>
    <w:rsid w:val="0037222E"/>
    <w:rsid w:val="00433802"/>
    <w:rsid w:val="00441E63"/>
    <w:rsid w:val="00442B35"/>
    <w:rsid w:val="00466BD3"/>
    <w:rsid w:val="004B2337"/>
    <w:rsid w:val="00570E3C"/>
    <w:rsid w:val="005864C9"/>
    <w:rsid w:val="005A79FA"/>
    <w:rsid w:val="005D54AE"/>
    <w:rsid w:val="006F7D0E"/>
    <w:rsid w:val="00725167"/>
    <w:rsid w:val="00770F0A"/>
    <w:rsid w:val="0081575C"/>
    <w:rsid w:val="00834C92"/>
    <w:rsid w:val="008763ED"/>
    <w:rsid w:val="009440BE"/>
    <w:rsid w:val="00947DFB"/>
    <w:rsid w:val="00A0627E"/>
    <w:rsid w:val="00A33B62"/>
    <w:rsid w:val="00A36A17"/>
    <w:rsid w:val="00A63B3A"/>
    <w:rsid w:val="00AF02E3"/>
    <w:rsid w:val="00B129D9"/>
    <w:rsid w:val="00BB5464"/>
    <w:rsid w:val="00C265BC"/>
    <w:rsid w:val="00C61B2E"/>
    <w:rsid w:val="00CA5FD3"/>
    <w:rsid w:val="00CB5C28"/>
    <w:rsid w:val="00CB7394"/>
    <w:rsid w:val="00D00EFE"/>
    <w:rsid w:val="00D31BDF"/>
    <w:rsid w:val="00DB540E"/>
    <w:rsid w:val="00DC18AE"/>
    <w:rsid w:val="00DC7A5D"/>
    <w:rsid w:val="00DF7655"/>
    <w:rsid w:val="00E235C8"/>
    <w:rsid w:val="00E25B2E"/>
    <w:rsid w:val="00E263A0"/>
    <w:rsid w:val="00E64928"/>
    <w:rsid w:val="00EA447E"/>
    <w:rsid w:val="00EB49C0"/>
    <w:rsid w:val="00EB654A"/>
    <w:rsid w:val="00EE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AF0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2E3"/>
  </w:style>
  <w:style w:type="paragraph" w:styleId="Footer">
    <w:name w:val="footer"/>
    <w:basedOn w:val="Normal"/>
    <w:link w:val="FooterChar"/>
    <w:uiPriority w:val="99"/>
    <w:unhideWhenUsed/>
    <w:rsid w:val="00AF0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AF0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2E3"/>
  </w:style>
  <w:style w:type="paragraph" w:styleId="Footer">
    <w:name w:val="footer"/>
    <w:basedOn w:val="Normal"/>
    <w:link w:val="FooterChar"/>
    <w:uiPriority w:val="99"/>
    <w:unhideWhenUsed/>
    <w:rsid w:val="00AF0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Office Word</Application>
  <DocSecurity>0</DocSecurity>
  <Lines>26</Lines>
  <Paragraphs>7</Paragraphs>
  <ScaleCrop>false</ScaleCrop>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2014-06-09T15:47:00Z</dcterms:created>
  <dcterms:modified xsi:type="dcterms:W3CDTF">2014-06-19T18:46:00Z</dcterms:modified>
</cp:coreProperties>
</file>