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B40" w:rsidRDefault="00CC2B40" w:rsidP="00F1773E">
      <w:pPr>
        <w:spacing w:after="240" w:line="240" w:lineRule="auto"/>
        <w:jc w:val="both"/>
        <w:rPr>
          <w:rFonts w:ascii="Times New Roman" w:eastAsia="Arial" w:hAnsi="Times New Roman" w:cs="Times New Roman"/>
          <w:sz w:val="26"/>
          <w:szCs w:val="26"/>
        </w:rPr>
      </w:pPr>
      <w:r>
        <w:rPr>
          <w:rFonts w:ascii="Times New Roman" w:eastAsia="Arial" w:hAnsi="Times New Roman" w:cs="Times New Roman"/>
          <w:b/>
          <w:sz w:val="26"/>
          <w:szCs w:val="26"/>
          <w:u w:val="single"/>
        </w:rPr>
        <w:t>ANNOTATIONS AND COMMENTS</w:t>
      </w:r>
      <w:bookmarkStart w:id="0" w:name="_GoBack"/>
      <w:bookmarkEnd w:id="0"/>
    </w:p>
    <w:p w:rsidR="00CC2B40" w:rsidRDefault="00CC2B40" w:rsidP="00F1773E">
      <w:pPr>
        <w:spacing w:after="240" w:line="240" w:lineRule="auto"/>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1 \s 1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Causes of Action</w:t>
      </w:r>
    </w:p>
    <w:p w:rsidR="00CC2B40" w:rsidRPr="003319F2" w:rsidRDefault="00CC2B40" w:rsidP="00F1773E">
      <w:pPr>
        <w:spacing w:after="240" w:line="240" w:lineRule="auto"/>
        <w:ind w:firstLine="720"/>
        <w:jc w:val="both"/>
        <w:rPr>
          <w:rFonts w:ascii="Times New Roman" w:eastAsia="Arial" w:hAnsi="Times New Roman" w:cs="Times New Roman"/>
          <w:sz w:val="26"/>
          <w:szCs w:val="26"/>
        </w:rPr>
      </w:pPr>
      <w:r w:rsidRPr="003319F2">
        <w:rPr>
          <w:rFonts w:ascii="Times New Roman" w:eastAsia="Arial" w:hAnsi="Times New Roman" w:cs="Times New Roman"/>
          <w:sz w:val="26"/>
          <w:szCs w:val="26"/>
        </w:rPr>
        <w:t>Pattern Instruction 4.21 is intended to be used for retaliation claims under 42 U.S.C. § 1981 (“§ 1981”), though the Committee recommends that district courts review the causation annotation prior to instructing a jury on § 1981 retaliation.</w:t>
      </w:r>
    </w:p>
    <w:p w:rsidR="00CC2B40" w:rsidRPr="003319F2" w:rsidRDefault="00CC2B40" w:rsidP="00F1773E">
      <w:pPr>
        <w:spacing w:after="240" w:line="240" w:lineRule="auto"/>
        <w:ind w:firstLine="720"/>
        <w:jc w:val="both"/>
        <w:rPr>
          <w:rFonts w:ascii="Times New Roman" w:eastAsia="Arial" w:hAnsi="Times New Roman" w:cs="Times New Roman"/>
          <w:sz w:val="26"/>
          <w:szCs w:val="26"/>
        </w:rPr>
      </w:pPr>
      <w:r w:rsidRPr="003319F2">
        <w:rPr>
          <w:rFonts w:ascii="Times New Roman" w:eastAsia="Arial" w:hAnsi="Times New Roman" w:cs="Times New Roman"/>
          <w:sz w:val="26"/>
          <w:szCs w:val="26"/>
        </w:rPr>
        <w:t xml:space="preserve">Pattern Instruction 4.21 is </w:t>
      </w:r>
      <w:r w:rsidRPr="003319F2">
        <w:rPr>
          <w:rFonts w:ascii="Times New Roman" w:eastAsia="Arial" w:hAnsi="Times New Roman" w:cs="Times New Roman"/>
          <w:i/>
          <w:sz w:val="26"/>
          <w:szCs w:val="26"/>
        </w:rPr>
        <w:t>not</w:t>
      </w:r>
      <w:r w:rsidRPr="003319F2">
        <w:rPr>
          <w:rFonts w:ascii="Times New Roman" w:eastAsia="Arial" w:hAnsi="Times New Roman" w:cs="Times New Roman"/>
          <w:sz w:val="26"/>
          <w:szCs w:val="26"/>
        </w:rPr>
        <w:t xml:space="preserve"> intended to be used for retaliation claims arising under</w:t>
      </w:r>
      <w:r>
        <w:rPr>
          <w:rFonts w:ascii="Times New Roman" w:eastAsia="Arial" w:hAnsi="Times New Roman" w:cs="Times New Roman"/>
          <w:sz w:val="26"/>
          <w:szCs w:val="26"/>
        </w:rPr>
        <w:t xml:space="preserve"> Title VII of the Civil Rights Act of 1964 (“Title VII”), 42 U.S.C. § 2000e-3</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w:t>
      </w:r>
      <w:r w:rsidRPr="003319F2">
        <w:rPr>
          <w:rFonts w:ascii="Times New Roman" w:eastAsia="Arial" w:hAnsi="Times New Roman" w:cs="Times New Roman"/>
          <w:sz w:val="26"/>
          <w:szCs w:val="26"/>
        </w:rPr>
        <w:t xml:space="preserve"> the Age Discrimination in Employment Act (“ADEA”), 29 U.S.C. § 623</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4 </w:instrText>
      </w:r>
      <w:r>
        <w:rPr>
          <w:rFonts w:ascii="Times New Roman" w:eastAsia="Arial" w:hAnsi="Times New Roman" w:cs="Times New Roman"/>
          <w:sz w:val="26"/>
          <w:szCs w:val="26"/>
        </w:rPr>
        <w:fldChar w:fldCharType="end"/>
      </w:r>
      <w:r w:rsidRPr="003319F2">
        <w:rPr>
          <w:rFonts w:ascii="Times New Roman" w:eastAsia="Arial" w:hAnsi="Times New Roman" w:cs="Times New Roman"/>
          <w:sz w:val="26"/>
          <w:szCs w:val="26"/>
        </w:rPr>
        <w:t>; the Americans with Disabilities Act (“ADA”), 42 U.S.C. § 12203</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3319F2">
        <w:rPr>
          <w:rFonts w:ascii="Times New Roman" w:eastAsia="Arial" w:hAnsi="Times New Roman" w:cs="Times New Roman"/>
          <w:sz w:val="26"/>
          <w:szCs w:val="26"/>
        </w:rPr>
        <w:t>; and the Fair Labor Standards Act (“FLSA”), 29 U.S.C. § 215</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3 </w:instrText>
      </w:r>
      <w:r>
        <w:rPr>
          <w:rFonts w:ascii="Times New Roman" w:eastAsia="Arial" w:hAnsi="Times New Roman" w:cs="Times New Roman"/>
          <w:sz w:val="26"/>
          <w:szCs w:val="26"/>
        </w:rPr>
        <w:fldChar w:fldCharType="end"/>
      </w:r>
      <w:r w:rsidRPr="003319F2">
        <w:rPr>
          <w:rFonts w:ascii="Times New Roman" w:eastAsia="Arial" w:hAnsi="Times New Roman" w:cs="Times New Roman"/>
          <w:sz w:val="26"/>
          <w:szCs w:val="26"/>
        </w:rPr>
        <w:t xml:space="preserve">. For retaliation claims under those statutes, please see Pattern Instruction 4.22, </w:t>
      </w:r>
      <w:r w:rsidRPr="003319F2">
        <w:rPr>
          <w:rFonts w:ascii="Times New Roman" w:eastAsia="Arial" w:hAnsi="Times New Roman" w:cs="Times New Roman"/>
          <w:i/>
          <w:sz w:val="26"/>
          <w:szCs w:val="26"/>
        </w:rPr>
        <w:t>infra</w:t>
      </w:r>
      <w:r w:rsidRPr="003319F2">
        <w:rPr>
          <w:rFonts w:ascii="Times New Roman" w:eastAsia="Arial" w:hAnsi="Times New Roman" w:cs="Times New Roman"/>
          <w:sz w:val="26"/>
          <w:szCs w:val="26"/>
        </w:rPr>
        <w:t>. Pattern Instruction 4.21 is also not intended to be used for retaliation claims arising under the Uniformed Services Employment and Reemployment Rights Act of 1994, 38 U.S.C. §</w:t>
      </w:r>
      <w:r>
        <w:rPr>
          <w:rFonts w:ascii="Times New Roman" w:eastAsia="Arial" w:hAnsi="Times New Roman" w:cs="Times New Roman"/>
          <w:sz w:val="26"/>
          <w:szCs w:val="26"/>
        </w:rPr>
        <w:t xml:space="preserve"> </w:t>
      </w:r>
      <w:r w:rsidRPr="003319F2">
        <w:rPr>
          <w:rFonts w:ascii="Times New Roman" w:eastAsia="Arial" w:hAnsi="Times New Roman" w:cs="Times New Roman"/>
          <w:sz w:val="26"/>
          <w:szCs w:val="26"/>
        </w:rPr>
        <w:t xml:space="preserve">4301 </w:t>
      </w:r>
      <w:r w:rsidRPr="003319F2">
        <w:rPr>
          <w:rFonts w:ascii="Times New Roman" w:eastAsia="Arial" w:hAnsi="Times New Roman" w:cs="Times New Roman"/>
          <w:i/>
          <w:sz w:val="26"/>
          <w:szCs w:val="26"/>
        </w:rPr>
        <w:t>et seq.</w:t>
      </w:r>
      <w:r w:rsidRPr="003319F2">
        <w:rPr>
          <w:rFonts w:ascii="Times New Roman" w:eastAsia="Arial" w:hAnsi="Times New Roman" w:cs="Times New Roman"/>
          <w:sz w:val="26"/>
          <w:szCs w:val="26"/>
        </w:rPr>
        <w:t xml:space="preserve"> (“USERRA”) or the Family and Medical Leave Act (“FMLA”), 29 U.S.C. § 2601 </w:t>
      </w:r>
      <w:r w:rsidRPr="003319F2">
        <w:rPr>
          <w:rFonts w:ascii="Times New Roman" w:eastAsia="Arial" w:hAnsi="Times New Roman" w:cs="Times New Roman"/>
          <w:i/>
          <w:sz w:val="26"/>
          <w:szCs w:val="26"/>
        </w:rPr>
        <w:t>et seq.</w:t>
      </w:r>
      <w:r w:rsidRPr="003319F2">
        <w:rPr>
          <w:rFonts w:ascii="Times New Roman" w:eastAsia="Arial" w:hAnsi="Times New Roman" w:cs="Times New Roman"/>
          <w:sz w:val="26"/>
          <w:szCs w:val="26"/>
        </w:rPr>
        <w:t xml:space="preserve"> For USERRA retaliation claims, please see Pattern Instruction 4.19, </w:t>
      </w:r>
      <w:r w:rsidRPr="003319F2">
        <w:rPr>
          <w:rFonts w:ascii="Times New Roman" w:eastAsia="Arial" w:hAnsi="Times New Roman" w:cs="Times New Roman"/>
          <w:i/>
          <w:sz w:val="26"/>
          <w:szCs w:val="26"/>
        </w:rPr>
        <w:t>supra</w:t>
      </w:r>
      <w:r w:rsidRPr="003319F2">
        <w:rPr>
          <w:rFonts w:ascii="Times New Roman" w:eastAsia="Arial" w:hAnsi="Times New Roman" w:cs="Times New Roman"/>
          <w:sz w:val="26"/>
          <w:szCs w:val="26"/>
        </w:rPr>
        <w:t xml:space="preserve">. For FMLA retaliation claims, please see Pattern Instruction 4.15, </w:t>
      </w:r>
      <w:r w:rsidRPr="003319F2">
        <w:rPr>
          <w:rFonts w:ascii="Times New Roman" w:eastAsia="Arial" w:hAnsi="Times New Roman" w:cs="Times New Roman"/>
          <w:i/>
          <w:sz w:val="26"/>
          <w:szCs w:val="26"/>
        </w:rPr>
        <w:t>supra</w:t>
      </w:r>
      <w:r w:rsidRPr="003319F2">
        <w:rPr>
          <w:rFonts w:ascii="Times New Roman" w:eastAsia="Arial" w:hAnsi="Times New Roman" w:cs="Times New Roman"/>
          <w:sz w:val="26"/>
          <w:szCs w:val="26"/>
        </w:rPr>
        <w:t>. Finally, Pattern Instruction 4.21 is not intended to be used for Title VII retaliatory hostile work environment claims. For retaliatory hostile work environment claims, please see annotation I(B) to Pattern Instructions 4.6 and 4.7.</w:t>
      </w:r>
    </w:p>
    <w:p w:rsidR="00CC2B40" w:rsidRDefault="00CC2B40" w:rsidP="00F1773E">
      <w:pPr>
        <w:spacing w:after="240" w:line="240" w:lineRule="auto"/>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1 \s 2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Elements and Defenses</w:t>
      </w:r>
    </w:p>
    <w:p w:rsidR="00CC2B40" w:rsidRDefault="00CC2B40" w:rsidP="00F1773E">
      <w:pPr>
        <w:spacing w:after="240" w:line="240" w:lineRule="auto"/>
        <w:ind w:firstLine="720"/>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2 \s 1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Protected Activity</w:t>
      </w:r>
    </w:p>
    <w:p w:rsidR="00CC2B40" w:rsidRPr="003319F2" w:rsidRDefault="00CC2B40" w:rsidP="00F1773E">
      <w:pPr>
        <w:spacing w:after="240" w:line="240" w:lineRule="auto"/>
        <w:ind w:firstLine="720"/>
        <w:jc w:val="both"/>
        <w:rPr>
          <w:rFonts w:ascii="Times New Roman" w:eastAsia="Arial" w:hAnsi="Times New Roman" w:cs="Times New Roman"/>
          <w:sz w:val="26"/>
          <w:szCs w:val="26"/>
        </w:rPr>
      </w:pPr>
      <w:r w:rsidRPr="003319F2">
        <w:rPr>
          <w:rFonts w:ascii="Times New Roman" w:eastAsia="Arial" w:hAnsi="Times New Roman" w:cs="Times New Roman"/>
          <w:sz w:val="26"/>
          <w:szCs w:val="26"/>
        </w:rPr>
        <w:t xml:space="preserve">Section 1981 does not contain an explicit anti-retaliation provision, but the Eleventh Circuit has interpreted § 1981 to provide for a retaliation claim based on an employee’s complaints of race discrimination. </w:t>
      </w:r>
      <w:r w:rsidRPr="00EB45D6">
        <w:rPr>
          <w:rFonts w:ascii="Times New Roman" w:eastAsia="Arial" w:hAnsi="Times New Roman" w:cs="Times New Roman"/>
          <w:i/>
          <w:sz w:val="26"/>
          <w:szCs w:val="26"/>
        </w:rPr>
        <w:t>See, e.g., Andrews v. Lakeshore Rehab. Hosp.</w:t>
      </w:r>
      <w:r w:rsidRPr="003319F2">
        <w:rPr>
          <w:rFonts w:ascii="Times New Roman" w:eastAsia="Arial" w:hAnsi="Times New Roman" w:cs="Times New Roman"/>
          <w:sz w:val="26"/>
          <w:szCs w:val="26"/>
        </w:rPr>
        <w:t>, 140 F.3d 1405, 1412-13 (</w:t>
      </w:r>
      <w:r>
        <w:rPr>
          <w:rFonts w:ascii="Times New Roman" w:eastAsia="Arial" w:hAnsi="Times New Roman" w:cs="Times New Roman"/>
          <w:sz w:val="26"/>
          <w:szCs w:val="26"/>
        </w:rPr>
        <w:t>11</w:t>
      </w:r>
      <w:r w:rsidRPr="00EB45D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3319F2">
        <w:rPr>
          <w:rFonts w:ascii="Times New Roman" w:eastAsia="Arial" w:hAnsi="Times New Roman" w:cs="Times New Roman"/>
          <w:sz w:val="26"/>
          <w:szCs w:val="26"/>
        </w:rPr>
        <w:t>Cir. 1998)</w:t>
      </w:r>
      <w:r>
        <w:rPr>
          <w:rFonts w:ascii="Times New Roman" w:eastAsia="Arial" w:hAnsi="Times New Roman" w:cs="Times New Roman"/>
          <w:sz w:val="26"/>
          <w:szCs w:val="26"/>
        </w:rPr>
        <w:t xml:space="preserve"> </w:t>
      </w:r>
      <w:r w:rsidRPr="00F95130">
        <w:rPr>
          <w:rFonts w:ascii="Times New Roman" w:eastAsia="Arial" w:hAnsi="Times New Roman" w:cs="Times New Roman"/>
          <w:i/>
          <w:sz w:val="26"/>
          <w:szCs w:val="26"/>
        </w:rPr>
        <w:t>accord CBOCS W., Inc. v. Humphries</w:t>
      </w:r>
      <w:r>
        <w:rPr>
          <w:rFonts w:ascii="Times New Roman" w:eastAsia="Arial" w:hAnsi="Times New Roman" w:cs="Times New Roman"/>
          <w:sz w:val="26"/>
          <w:szCs w:val="26"/>
        </w:rPr>
        <w:t>, 553 U.S. 442, 457 (2008) (recognizing § 1981 retaliation claim)</w:t>
      </w:r>
      <w:r w:rsidRPr="003319F2">
        <w:rPr>
          <w:rFonts w:ascii="Times New Roman" w:eastAsia="Arial" w:hAnsi="Times New Roman" w:cs="Times New Roman"/>
          <w:sz w:val="26"/>
          <w:szCs w:val="26"/>
        </w:rPr>
        <w:t xml:space="preserve">. The Eleventh Circuit analyzes claims brought under § 1981 “using the burden-shifting scheme established for Title VII claims, since both statutes have the same proof requirements.” </w:t>
      </w:r>
      <w:r w:rsidRPr="00EB45D6">
        <w:rPr>
          <w:rFonts w:ascii="Times New Roman" w:eastAsia="Arial" w:hAnsi="Times New Roman" w:cs="Times New Roman"/>
          <w:i/>
          <w:sz w:val="26"/>
          <w:szCs w:val="26"/>
        </w:rPr>
        <w:t>Jackson v. Geo Grp., Inc.</w:t>
      </w:r>
      <w:r w:rsidRPr="003319F2">
        <w:rPr>
          <w:rFonts w:ascii="Times New Roman" w:eastAsia="Arial" w:hAnsi="Times New Roman" w:cs="Times New Roman"/>
          <w:sz w:val="26"/>
          <w:szCs w:val="26"/>
        </w:rPr>
        <w:t>, 312 F. App’x 229, 233 (</w:t>
      </w:r>
      <w:r>
        <w:rPr>
          <w:rFonts w:ascii="Times New Roman" w:eastAsia="Arial" w:hAnsi="Times New Roman" w:cs="Times New Roman"/>
          <w:sz w:val="26"/>
          <w:szCs w:val="26"/>
        </w:rPr>
        <w:t>11</w:t>
      </w:r>
      <w:r w:rsidRPr="00EB45D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3319F2">
        <w:rPr>
          <w:rFonts w:ascii="Times New Roman" w:eastAsia="Arial" w:hAnsi="Times New Roman" w:cs="Times New Roman"/>
          <w:sz w:val="26"/>
          <w:szCs w:val="26"/>
        </w:rPr>
        <w:t xml:space="preserve">Cir. 2009) (per curiam). In applying Title VII’s framework to § 1981 retaliation claims, the Eleventh Circuit has </w:t>
      </w:r>
      <w:r>
        <w:rPr>
          <w:rFonts w:ascii="Times New Roman" w:eastAsia="Arial" w:hAnsi="Times New Roman" w:cs="Times New Roman"/>
          <w:sz w:val="26"/>
          <w:szCs w:val="26"/>
        </w:rPr>
        <w:t>analyzed § 1981 claims under</w:t>
      </w:r>
      <w:r w:rsidRPr="003319F2">
        <w:rPr>
          <w:rFonts w:ascii="Times New Roman" w:eastAsia="Arial" w:hAnsi="Times New Roman" w:cs="Times New Roman"/>
          <w:sz w:val="26"/>
          <w:szCs w:val="26"/>
        </w:rPr>
        <w:t xml:space="preserve"> Title VII’s </w:t>
      </w:r>
      <w:r>
        <w:rPr>
          <w:rFonts w:ascii="Times New Roman" w:eastAsia="Arial" w:hAnsi="Times New Roman" w:cs="Times New Roman"/>
          <w:sz w:val="26"/>
          <w:szCs w:val="26"/>
        </w:rPr>
        <w:t xml:space="preserve">opposition clause. </w:t>
      </w:r>
      <w:r w:rsidRPr="00F95130">
        <w:rPr>
          <w:rFonts w:ascii="Times New Roman" w:eastAsia="Arial" w:hAnsi="Times New Roman" w:cs="Times New Roman"/>
          <w:i/>
          <w:sz w:val="26"/>
          <w:szCs w:val="26"/>
        </w:rPr>
        <w:t>Id</w:t>
      </w:r>
      <w:r>
        <w:rPr>
          <w:rFonts w:ascii="Times New Roman" w:eastAsia="Arial" w:hAnsi="Times New Roman" w:cs="Times New Roman"/>
          <w:sz w:val="26"/>
          <w:szCs w:val="26"/>
        </w:rPr>
        <w:t xml:space="preserve">. at 233-34 &amp; n.8 (applying Title VII’s </w:t>
      </w:r>
      <w:r w:rsidRPr="003319F2">
        <w:rPr>
          <w:rFonts w:ascii="Times New Roman" w:eastAsia="Arial" w:hAnsi="Times New Roman" w:cs="Times New Roman"/>
          <w:sz w:val="26"/>
          <w:szCs w:val="26"/>
        </w:rPr>
        <w:t>anti-retaliation provision to §</w:t>
      </w:r>
      <w:r>
        <w:rPr>
          <w:rFonts w:ascii="Times New Roman" w:eastAsia="Arial" w:hAnsi="Times New Roman" w:cs="Times New Roman"/>
          <w:sz w:val="26"/>
          <w:szCs w:val="26"/>
        </w:rPr>
        <w:t xml:space="preserve"> </w:t>
      </w:r>
      <w:r w:rsidRPr="003319F2">
        <w:rPr>
          <w:rFonts w:ascii="Times New Roman" w:eastAsia="Arial" w:hAnsi="Times New Roman" w:cs="Times New Roman"/>
          <w:sz w:val="26"/>
          <w:szCs w:val="26"/>
        </w:rPr>
        <w:t>1981 retaliation claim and noting that the plaintiff only had an “opposition clause” claim).</w:t>
      </w:r>
      <w:r>
        <w:rPr>
          <w:rFonts w:ascii="Times New Roman" w:eastAsia="Arial" w:hAnsi="Times New Roman" w:cs="Times New Roman"/>
          <w:sz w:val="26"/>
          <w:szCs w:val="26"/>
        </w:rPr>
        <w:t xml:space="preserve"> </w:t>
      </w:r>
      <w:r w:rsidRPr="003319F2">
        <w:rPr>
          <w:rFonts w:ascii="Times New Roman" w:eastAsia="Arial" w:hAnsi="Times New Roman" w:cs="Times New Roman"/>
          <w:sz w:val="26"/>
          <w:szCs w:val="26"/>
        </w:rPr>
        <w:t xml:space="preserve">Pattern Instruction 4.21 includes </w:t>
      </w:r>
      <w:r>
        <w:rPr>
          <w:rFonts w:ascii="Times New Roman" w:eastAsia="Arial" w:hAnsi="Times New Roman" w:cs="Times New Roman"/>
          <w:sz w:val="26"/>
          <w:szCs w:val="26"/>
        </w:rPr>
        <w:t>an</w:t>
      </w:r>
      <w:r w:rsidRPr="003319F2">
        <w:rPr>
          <w:rFonts w:ascii="Times New Roman" w:eastAsia="Arial" w:hAnsi="Times New Roman" w:cs="Times New Roman"/>
          <w:sz w:val="26"/>
          <w:szCs w:val="26"/>
        </w:rPr>
        <w:t xml:space="preserve"> opposition clause claim.</w:t>
      </w:r>
    </w:p>
    <w:p w:rsidR="00CC2B40" w:rsidRDefault="00CC2B40" w:rsidP="00F1773E">
      <w:pPr>
        <w:spacing w:after="240" w:line="240" w:lineRule="auto"/>
        <w:ind w:firstLine="720"/>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2 \s 2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Adverse Employment Action</w:t>
      </w:r>
    </w:p>
    <w:p w:rsidR="00CC2B40" w:rsidRPr="003319F2" w:rsidRDefault="00CC2B40" w:rsidP="00F1773E">
      <w:pPr>
        <w:spacing w:after="240" w:line="240" w:lineRule="auto"/>
        <w:ind w:firstLine="720"/>
        <w:jc w:val="both"/>
        <w:rPr>
          <w:rFonts w:ascii="Times New Roman" w:eastAsia="Arial" w:hAnsi="Times New Roman" w:cs="Times New Roman"/>
          <w:sz w:val="26"/>
          <w:szCs w:val="26"/>
        </w:rPr>
      </w:pPr>
      <w:r w:rsidRPr="003319F2">
        <w:rPr>
          <w:rFonts w:ascii="Times New Roman" w:eastAsia="Arial" w:hAnsi="Times New Roman" w:cs="Times New Roman"/>
          <w:sz w:val="26"/>
          <w:szCs w:val="26"/>
        </w:rPr>
        <w:t xml:space="preserve">Pattern Instruction 4.21 includes a charge on the definition of an adverse employment action, which is based on the Supreme Court’s decision in </w:t>
      </w:r>
      <w:r w:rsidRPr="00EB45D6">
        <w:rPr>
          <w:rFonts w:ascii="Times New Roman" w:eastAsia="Arial" w:hAnsi="Times New Roman" w:cs="Times New Roman"/>
          <w:i/>
          <w:sz w:val="26"/>
          <w:szCs w:val="26"/>
        </w:rPr>
        <w:t>Burlington Northern &amp;Santa Fe Railway Co. v. White</w:t>
      </w:r>
      <w:r w:rsidRPr="003319F2">
        <w:rPr>
          <w:rFonts w:ascii="Times New Roman" w:eastAsia="Arial" w:hAnsi="Times New Roman" w:cs="Times New Roman"/>
          <w:sz w:val="26"/>
          <w:szCs w:val="26"/>
        </w:rPr>
        <w:t xml:space="preserve">, 548 U.S. 53 (2006), which requires proof that the challenged retaliatory conduct is “materially adverse.” </w:t>
      </w:r>
      <w:r w:rsidRPr="00EB45D6">
        <w:rPr>
          <w:rFonts w:ascii="Times New Roman" w:eastAsia="Arial" w:hAnsi="Times New Roman" w:cs="Times New Roman"/>
          <w:i/>
          <w:sz w:val="26"/>
          <w:szCs w:val="26"/>
        </w:rPr>
        <w:t>Id</w:t>
      </w:r>
      <w:r w:rsidRPr="003319F2">
        <w:rPr>
          <w:rFonts w:ascii="Times New Roman" w:eastAsia="Arial" w:hAnsi="Times New Roman" w:cs="Times New Roman"/>
          <w:sz w:val="26"/>
          <w:szCs w:val="26"/>
        </w:rPr>
        <w:t>.</w:t>
      </w:r>
      <w:r>
        <w:rPr>
          <w:rFonts w:ascii="Times New Roman" w:eastAsia="Arial" w:hAnsi="Times New Roman" w:cs="Times New Roman"/>
          <w:sz w:val="26"/>
          <w:szCs w:val="26"/>
        </w:rPr>
        <w:t xml:space="preserve"> at 68.</w:t>
      </w:r>
    </w:p>
    <w:p w:rsidR="00CC2B40" w:rsidRDefault="00CC2B40" w:rsidP="00F1773E">
      <w:pPr>
        <w:spacing w:after="240" w:line="240" w:lineRule="auto"/>
        <w:ind w:firstLine="720"/>
        <w:jc w:val="both"/>
        <w:rPr>
          <w:rFonts w:ascii="Times New Roman" w:eastAsia="Arial" w:hAnsi="Times New Roman" w:cs="Times New Roman"/>
          <w:b/>
          <w:sz w:val="26"/>
          <w:szCs w:val="26"/>
        </w:rPr>
      </w:pPr>
      <w:r>
        <w:rPr>
          <w:rFonts w:ascii="Times New Roman" w:eastAsia="Arial" w:hAnsi="Times New Roman" w:cs="Times New Roman"/>
          <w:b/>
          <w:sz w:val="26"/>
          <w:szCs w:val="26"/>
        </w:rPr>
        <w:lastRenderedPageBreak/>
        <w:fldChar w:fldCharType="begin"/>
      </w:r>
      <w:r>
        <w:rPr>
          <w:rFonts w:ascii="Times New Roman" w:eastAsia="Arial" w:hAnsi="Times New Roman" w:cs="Times New Roman"/>
          <w:b/>
          <w:sz w:val="26"/>
          <w:szCs w:val="26"/>
        </w:rPr>
        <w:instrText xml:space="preserve"> LISTNUM  OutlineDefault \l 2 \s 3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Third Party Reprisals</w:t>
      </w:r>
    </w:p>
    <w:p w:rsidR="00CC2B40" w:rsidRPr="003319F2" w:rsidRDefault="00CC2B40" w:rsidP="00F1773E">
      <w:pPr>
        <w:spacing w:after="240" w:line="240" w:lineRule="auto"/>
        <w:ind w:firstLine="720"/>
        <w:jc w:val="both"/>
        <w:rPr>
          <w:rFonts w:ascii="Times New Roman" w:eastAsia="Arial" w:hAnsi="Times New Roman" w:cs="Times New Roman"/>
          <w:sz w:val="26"/>
          <w:szCs w:val="26"/>
        </w:rPr>
      </w:pPr>
      <w:r w:rsidRPr="003319F2">
        <w:rPr>
          <w:rFonts w:ascii="Times New Roman" w:eastAsia="Arial" w:hAnsi="Times New Roman" w:cs="Times New Roman"/>
          <w:sz w:val="26"/>
          <w:szCs w:val="26"/>
        </w:rPr>
        <w:t xml:space="preserve">In </w:t>
      </w:r>
      <w:r w:rsidRPr="00EB45D6">
        <w:rPr>
          <w:rFonts w:ascii="Times New Roman" w:eastAsia="Arial" w:hAnsi="Times New Roman" w:cs="Times New Roman"/>
          <w:i/>
          <w:sz w:val="26"/>
          <w:szCs w:val="26"/>
        </w:rPr>
        <w:t>Thompson v. North American Stainless, LP</w:t>
      </w:r>
      <w:r w:rsidRPr="003319F2">
        <w:rPr>
          <w:rFonts w:ascii="Times New Roman" w:eastAsia="Arial" w:hAnsi="Times New Roman" w:cs="Times New Roman"/>
          <w:sz w:val="26"/>
          <w:szCs w:val="26"/>
        </w:rPr>
        <w:t xml:space="preserve">, 131 S. Ct. 863 (2011), the Supreme Court held that third-party reprisals are actionable under the anti-retaliation provision of Title VII. </w:t>
      </w:r>
      <w:r w:rsidRPr="00EB45D6">
        <w:rPr>
          <w:rFonts w:ascii="Times New Roman" w:eastAsia="Arial" w:hAnsi="Times New Roman" w:cs="Times New Roman"/>
          <w:i/>
          <w:sz w:val="26"/>
          <w:szCs w:val="26"/>
        </w:rPr>
        <w:t>Id</w:t>
      </w:r>
      <w:r w:rsidRPr="003319F2">
        <w:rPr>
          <w:rFonts w:ascii="Times New Roman" w:eastAsia="Arial" w:hAnsi="Times New Roman" w:cs="Times New Roman"/>
          <w:sz w:val="26"/>
          <w:szCs w:val="26"/>
        </w:rPr>
        <w:t xml:space="preserve">. at 868. The plaintiff in </w:t>
      </w:r>
      <w:r w:rsidRPr="00EB45D6">
        <w:rPr>
          <w:rFonts w:ascii="Times New Roman" w:eastAsia="Arial" w:hAnsi="Times New Roman" w:cs="Times New Roman"/>
          <w:i/>
          <w:sz w:val="26"/>
          <w:szCs w:val="26"/>
        </w:rPr>
        <w:t>Thompson</w:t>
      </w:r>
      <w:r w:rsidRPr="003319F2">
        <w:rPr>
          <w:rFonts w:ascii="Times New Roman" w:eastAsia="Arial" w:hAnsi="Times New Roman" w:cs="Times New Roman"/>
          <w:sz w:val="26"/>
          <w:szCs w:val="26"/>
        </w:rPr>
        <w:t xml:space="preserve"> stated a claim for retaliation by alleging that he was intentionally terminated because his fiancée filed an EEOC charge of discrimination against their mutual employer. </w:t>
      </w:r>
      <w:r w:rsidRPr="00EB45D6">
        <w:rPr>
          <w:rFonts w:ascii="Times New Roman" w:eastAsia="Arial" w:hAnsi="Times New Roman" w:cs="Times New Roman"/>
          <w:i/>
          <w:sz w:val="26"/>
          <w:szCs w:val="26"/>
        </w:rPr>
        <w:t>Id</w:t>
      </w:r>
      <w:r w:rsidRPr="003319F2">
        <w:rPr>
          <w:rFonts w:ascii="Times New Roman" w:eastAsia="Arial" w:hAnsi="Times New Roman" w:cs="Times New Roman"/>
          <w:sz w:val="26"/>
          <w:szCs w:val="26"/>
        </w:rPr>
        <w:t>. at 870. In cases involving third party reprisals, the charge will need to be adapted.</w:t>
      </w:r>
    </w:p>
    <w:p w:rsidR="00CC2B40" w:rsidRDefault="00CC2B40" w:rsidP="00F1773E">
      <w:pPr>
        <w:spacing w:after="240" w:line="240" w:lineRule="auto"/>
        <w:ind w:firstLine="720"/>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2 \s 4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Causation</w:t>
      </w:r>
    </w:p>
    <w:p w:rsidR="00CC2B40" w:rsidRDefault="00CC2B40" w:rsidP="00F1773E">
      <w:pPr>
        <w:spacing w:after="240" w:line="240" w:lineRule="auto"/>
        <w:ind w:firstLine="720"/>
        <w:jc w:val="both"/>
        <w:rPr>
          <w:rFonts w:ascii="Times New Roman" w:eastAsia="Arial" w:hAnsi="Times New Roman" w:cs="Times New Roman"/>
          <w:sz w:val="26"/>
          <w:szCs w:val="26"/>
        </w:rPr>
      </w:pPr>
      <w:r w:rsidRPr="003319F2">
        <w:rPr>
          <w:rFonts w:ascii="Times New Roman" w:eastAsia="Arial" w:hAnsi="Times New Roman" w:cs="Times New Roman"/>
          <w:sz w:val="26"/>
          <w:szCs w:val="26"/>
        </w:rPr>
        <w:t xml:space="preserve">In </w:t>
      </w:r>
      <w:r w:rsidRPr="00EB45D6">
        <w:rPr>
          <w:rFonts w:ascii="Times New Roman" w:eastAsia="Arial" w:hAnsi="Times New Roman" w:cs="Times New Roman"/>
          <w:i/>
          <w:sz w:val="26"/>
          <w:szCs w:val="26"/>
        </w:rPr>
        <w:t>Gross v. FBL Financial Services, Inc.</w:t>
      </w:r>
      <w:r w:rsidRPr="003319F2">
        <w:rPr>
          <w:rFonts w:ascii="Times New Roman" w:eastAsia="Arial" w:hAnsi="Times New Roman" w:cs="Times New Roman"/>
          <w:sz w:val="26"/>
          <w:szCs w:val="26"/>
        </w:rPr>
        <w:t xml:space="preserve">, 557 U.S. 167 (2009), the Supreme Court held that, based on the statutory language of the ADEA, a plaintiff must prove that “age was the ‘but-for’ cause of the employer’s adverse decision,” not merely a motivating factor in the decision. </w:t>
      </w:r>
      <w:r w:rsidRPr="00EB45D6">
        <w:rPr>
          <w:rFonts w:ascii="Times New Roman" w:eastAsia="Arial" w:hAnsi="Times New Roman" w:cs="Times New Roman"/>
          <w:i/>
          <w:sz w:val="26"/>
          <w:szCs w:val="26"/>
        </w:rPr>
        <w:t>Id</w:t>
      </w:r>
      <w:r w:rsidRPr="003319F2">
        <w:rPr>
          <w:rFonts w:ascii="Times New Roman" w:eastAsia="Arial" w:hAnsi="Times New Roman" w:cs="Times New Roman"/>
          <w:sz w:val="26"/>
          <w:szCs w:val="26"/>
        </w:rPr>
        <w:t xml:space="preserve">. at 176-77. The Court also rejected the mixed motive defense (also known as the same decision defense) in the context of the ADEA, noting that unlike under Title VII, a mixed motive defense was not incorporated into the ADEA. </w:t>
      </w:r>
      <w:r w:rsidRPr="00EB45D6">
        <w:rPr>
          <w:rFonts w:ascii="Times New Roman" w:eastAsia="Arial" w:hAnsi="Times New Roman" w:cs="Times New Roman"/>
          <w:i/>
          <w:sz w:val="26"/>
          <w:szCs w:val="26"/>
        </w:rPr>
        <w:t>Id</w:t>
      </w:r>
      <w:r w:rsidRPr="003319F2">
        <w:rPr>
          <w:rFonts w:ascii="Times New Roman" w:eastAsia="Arial" w:hAnsi="Times New Roman" w:cs="Times New Roman"/>
          <w:sz w:val="26"/>
          <w:szCs w:val="26"/>
        </w:rPr>
        <w:t xml:space="preserve">. at 173-75. </w:t>
      </w:r>
      <w:r>
        <w:rPr>
          <w:rFonts w:ascii="Times New Roman" w:eastAsia="Arial" w:hAnsi="Times New Roman" w:cs="Times New Roman"/>
          <w:sz w:val="26"/>
          <w:szCs w:val="26"/>
        </w:rPr>
        <w:t xml:space="preserve">In </w:t>
      </w:r>
      <w:r w:rsidRPr="00F95130">
        <w:rPr>
          <w:rFonts w:ascii="Times New Roman" w:eastAsia="Arial" w:hAnsi="Times New Roman" w:cs="Times New Roman"/>
          <w:i/>
          <w:sz w:val="26"/>
          <w:szCs w:val="26"/>
        </w:rPr>
        <w:t>University of Texas Southwestern Medical Center v. Nassar</w:t>
      </w:r>
      <w:r>
        <w:rPr>
          <w:rFonts w:ascii="Times New Roman" w:eastAsia="Arial" w:hAnsi="Times New Roman" w:cs="Times New Roman"/>
          <w:sz w:val="26"/>
          <w:szCs w:val="26"/>
        </w:rPr>
        <w:t>, No. 12-484, 2013 WL 3155234 (U.S. June 24, 2013), the Supreme Court extended the rational</w:t>
      </w:r>
      <w:r w:rsidR="001C4824">
        <w:rPr>
          <w:rFonts w:ascii="Times New Roman" w:eastAsia="Arial" w:hAnsi="Times New Roman" w:cs="Times New Roman"/>
          <w:sz w:val="26"/>
          <w:szCs w:val="26"/>
        </w:rPr>
        <w:t>e</w:t>
      </w:r>
      <w:r>
        <w:rPr>
          <w:rFonts w:ascii="Times New Roman" w:eastAsia="Arial" w:hAnsi="Times New Roman" w:cs="Times New Roman"/>
          <w:sz w:val="26"/>
          <w:szCs w:val="26"/>
        </w:rPr>
        <w:t xml:space="preserve"> of </w:t>
      </w:r>
      <w:r w:rsidRPr="00F95130">
        <w:rPr>
          <w:rFonts w:ascii="Times New Roman" w:eastAsia="Arial" w:hAnsi="Times New Roman" w:cs="Times New Roman"/>
          <w:i/>
          <w:sz w:val="26"/>
          <w:szCs w:val="26"/>
        </w:rPr>
        <w:t>Gross</w:t>
      </w:r>
      <w:r>
        <w:rPr>
          <w:rFonts w:ascii="Times New Roman" w:eastAsia="Arial" w:hAnsi="Times New Roman" w:cs="Times New Roman"/>
          <w:sz w:val="26"/>
          <w:szCs w:val="26"/>
        </w:rPr>
        <w:t xml:space="preserve"> to </w:t>
      </w:r>
      <w:r w:rsidR="001C4824">
        <w:rPr>
          <w:rFonts w:ascii="Times New Roman" w:eastAsia="Arial" w:hAnsi="Times New Roman" w:cs="Times New Roman"/>
          <w:sz w:val="26"/>
          <w:szCs w:val="26"/>
        </w:rPr>
        <w:t>T</w:t>
      </w:r>
      <w:r>
        <w:rPr>
          <w:rFonts w:ascii="Times New Roman" w:eastAsia="Arial" w:hAnsi="Times New Roman" w:cs="Times New Roman"/>
          <w:sz w:val="26"/>
          <w:szCs w:val="26"/>
        </w:rPr>
        <w:t xml:space="preserve">itle VII retaliation claims “[g]iven the lack of any meaningful textual difference between the text in” Title VII’s anti-retaliation provision and the ADEA’s anti-retaliation provision. </w:t>
      </w:r>
      <w:r w:rsidRPr="00F95130">
        <w:rPr>
          <w:rFonts w:ascii="Times New Roman" w:eastAsia="Arial" w:hAnsi="Times New Roman" w:cs="Times New Roman"/>
          <w:i/>
          <w:sz w:val="26"/>
          <w:szCs w:val="26"/>
        </w:rPr>
        <w:t>Nassar</w:t>
      </w:r>
      <w:r>
        <w:rPr>
          <w:rFonts w:ascii="Times New Roman" w:eastAsia="Arial" w:hAnsi="Times New Roman" w:cs="Times New Roman"/>
          <w:sz w:val="26"/>
          <w:szCs w:val="26"/>
        </w:rPr>
        <w:t>, 2013 WL 3155234, at *10. Therefore, “Title VII retaliation claims must be proved according to traditional principles of but-for causation, not the lessened causation test stated in [42 U.S.C.] § 2000e-2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13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w:t>
      </w:r>
      <w:r w:rsidRPr="00F95130">
        <w:rPr>
          <w:rFonts w:ascii="Times New Roman" w:eastAsia="Arial" w:hAnsi="Times New Roman" w:cs="Times New Roman"/>
          <w:i/>
          <w:sz w:val="26"/>
          <w:szCs w:val="26"/>
        </w:rPr>
        <w:t>Id</w:t>
      </w:r>
      <w:r>
        <w:rPr>
          <w:rFonts w:ascii="Times New Roman" w:eastAsia="Arial" w:hAnsi="Times New Roman" w:cs="Times New Roman"/>
          <w:sz w:val="26"/>
          <w:szCs w:val="26"/>
        </w:rPr>
        <w:t xml:space="preserve">. at *14. </w:t>
      </w:r>
    </w:p>
    <w:p w:rsidR="00CC2B40" w:rsidRDefault="00CC2B40" w:rsidP="00F1773E">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In First Amendment retaliation cases brought pursuant to 42 U.S.C. § 1983, a “motivating factor” causation standard applies based </w:t>
      </w:r>
      <w:r w:rsidRPr="00235DD8">
        <w:rPr>
          <w:rFonts w:ascii="Times New Roman" w:eastAsia="Arial" w:hAnsi="Times New Roman" w:cs="Times New Roman"/>
          <w:sz w:val="26"/>
          <w:szCs w:val="26"/>
        </w:rPr>
        <w:t xml:space="preserve">on </w:t>
      </w:r>
      <w:r w:rsidRPr="00235DD8">
        <w:rPr>
          <w:rFonts w:ascii="Times New Roman" w:eastAsia="Arial" w:hAnsi="Times New Roman" w:cs="Times New Roman"/>
          <w:i/>
          <w:sz w:val="26"/>
          <w:szCs w:val="26"/>
        </w:rPr>
        <w:t>Mt. Healthy City School District Board of Education v. Doyle</w:t>
      </w:r>
      <w:r>
        <w:rPr>
          <w:rFonts w:ascii="Times New Roman" w:eastAsia="Arial" w:hAnsi="Times New Roman" w:cs="Times New Roman"/>
          <w:sz w:val="26"/>
          <w:szCs w:val="26"/>
        </w:rPr>
        <w:t xml:space="preserve">, 429 U.S. 274 (1977), in which the Supreme Court held that a plaintiff must show that protected First Amendment “conduct was a ‘substantial factor’ or to put it in other words, that it was a ‘motivating factor’” in the defendant’s challenged action. </w:t>
      </w:r>
      <w:r w:rsidRPr="00235DD8">
        <w:rPr>
          <w:rFonts w:ascii="Times New Roman" w:eastAsia="Arial" w:hAnsi="Times New Roman" w:cs="Times New Roman"/>
          <w:i/>
          <w:sz w:val="26"/>
          <w:szCs w:val="26"/>
        </w:rPr>
        <w:t>Id</w:t>
      </w:r>
      <w:r>
        <w:rPr>
          <w:rFonts w:ascii="Times New Roman" w:eastAsia="Arial" w:hAnsi="Times New Roman" w:cs="Times New Roman"/>
          <w:sz w:val="26"/>
          <w:szCs w:val="26"/>
        </w:rPr>
        <w:t xml:space="preserve">. at 287; </w:t>
      </w:r>
      <w:r w:rsidRPr="00235DD8">
        <w:rPr>
          <w:rFonts w:ascii="Times New Roman" w:eastAsia="Arial" w:hAnsi="Times New Roman" w:cs="Times New Roman"/>
          <w:i/>
          <w:sz w:val="26"/>
          <w:szCs w:val="26"/>
        </w:rPr>
        <w:t>see also Vila v. Padron</w:t>
      </w:r>
      <w:r>
        <w:rPr>
          <w:rFonts w:ascii="Times New Roman" w:eastAsia="Arial" w:hAnsi="Times New Roman" w:cs="Times New Roman"/>
          <w:sz w:val="26"/>
          <w:szCs w:val="26"/>
        </w:rPr>
        <w:t>, 484 F.3d 1334, 1339 (11</w:t>
      </w:r>
      <w:r w:rsidRPr="00235DD8">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2007) (requiring that protected speech play “a substantial or motivating role in the adverse employment action”).</w:t>
      </w:r>
    </w:p>
    <w:p w:rsidR="00CC2B40" w:rsidRPr="003319F2" w:rsidRDefault="00CC2B40" w:rsidP="00F1773E">
      <w:pPr>
        <w:spacing w:after="240" w:line="240" w:lineRule="auto"/>
        <w:ind w:firstLine="720"/>
        <w:jc w:val="both"/>
        <w:rPr>
          <w:rFonts w:ascii="Times New Roman" w:eastAsia="Arial" w:hAnsi="Times New Roman" w:cs="Times New Roman"/>
          <w:sz w:val="26"/>
          <w:szCs w:val="26"/>
        </w:rPr>
      </w:pPr>
      <w:r w:rsidRPr="003319F2">
        <w:rPr>
          <w:rFonts w:ascii="Times New Roman" w:eastAsia="Arial" w:hAnsi="Times New Roman" w:cs="Times New Roman"/>
          <w:sz w:val="26"/>
          <w:szCs w:val="26"/>
        </w:rPr>
        <w:t xml:space="preserve">The Eleventh Circuit did not, prior to this publication, decide whether the rationale of </w:t>
      </w:r>
      <w:r w:rsidRPr="006E3AEE">
        <w:rPr>
          <w:rFonts w:ascii="Times New Roman" w:eastAsia="Arial" w:hAnsi="Times New Roman" w:cs="Times New Roman"/>
          <w:i/>
          <w:sz w:val="26"/>
          <w:szCs w:val="26"/>
        </w:rPr>
        <w:t>Gross</w:t>
      </w:r>
      <w:r w:rsidRPr="003319F2">
        <w:rPr>
          <w:rFonts w:ascii="Times New Roman" w:eastAsia="Arial" w:hAnsi="Times New Roman" w:cs="Times New Roman"/>
          <w:sz w:val="26"/>
          <w:szCs w:val="26"/>
        </w:rPr>
        <w:t xml:space="preserve"> </w:t>
      </w:r>
      <w:r>
        <w:rPr>
          <w:rFonts w:ascii="Times New Roman" w:eastAsia="Arial" w:hAnsi="Times New Roman" w:cs="Times New Roman"/>
          <w:sz w:val="26"/>
          <w:szCs w:val="26"/>
        </w:rPr>
        <w:t xml:space="preserve">and </w:t>
      </w:r>
      <w:r w:rsidRPr="00235DD8">
        <w:rPr>
          <w:rFonts w:ascii="Times New Roman" w:eastAsia="Arial" w:hAnsi="Times New Roman" w:cs="Times New Roman"/>
          <w:i/>
          <w:sz w:val="26"/>
          <w:szCs w:val="26"/>
        </w:rPr>
        <w:t>Nassar</w:t>
      </w:r>
      <w:r>
        <w:rPr>
          <w:rFonts w:ascii="Times New Roman" w:eastAsia="Arial" w:hAnsi="Times New Roman" w:cs="Times New Roman"/>
          <w:sz w:val="26"/>
          <w:szCs w:val="26"/>
        </w:rPr>
        <w:t xml:space="preserve"> </w:t>
      </w:r>
      <w:r w:rsidRPr="003319F2">
        <w:rPr>
          <w:rFonts w:ascii="Times New Roman" w:eastAsia="Arial" w:hAnsi="Times New Roman" w:cs="Times New Roman"/>
          <w:sz w:val="26"/>
          <w:szCs w:val="26"/>
        </w:rPr>
        <w:t xml:space="preserve">extends to § 1981 claims, including § 1981 retaliation claims. </w:t>
      </w:r>
      <w:r w:rsidRPr="006E3AEE">
        <w:rPr>
          <w:rFonts w:ascii="Times New Roman" w:eastAsia="Arial" w:hAnsi="Times New Roman" w:cs="Times New Roman"/>
          <w:i/>
          <w:sz w:val="26"/>
          <w:szCs w:val="26"/>
        </w:rPr>
        <w:t>See</w:t>
      </w:r>
      <w:r w:rsidRPr="003319F2">
        <w:rPr>
          <w:rFonts w:ascii="Times New Roman" w:eastAsia="Arial" w:hAnsi="Times New Roman" w:cs="Times New Roman"/>
          <w:sz w:val="26"/>
          <w:szCs w:val="26"/>
        </w:rPr>
        <w:t xml:space="preserve"> Annotation II(A) to Pattern Instruction 4.9, </w:t>
      </w:r>
      <w:r w:rsidRPr="006E3AEE">
        <w:rPr>
          <w:rFonts w:ascii="Times New Roman" w:eastAsia="Arial" w:hAnsi="Times New Roman" w:cs="Times New Roman"/>
          <w:i/>
          <w:sz w:val="26"/>
          <w:szCs w:val="26"/>
        </w:rPr>
        <w:t>supra</w:t>
      </w:r>
      <w:r w:rsidRPr="003319F2">
        <w:rPr>
          <w:rFonts w:ascii="Times New Roman" w:eastAsia="Arial" w:hAnsi="Times New Roman" w:cs="Times New Roman"/>
          <w:sz w:val="26"/>
          <w:szCs w:val="26"/>
        </w:rPr>
        <w:t xml:space="preserve">. </w:t>
      </w:r>
      <w:r>
        <w:rPr>
          <w:rFonts w:ascii="Times New Roman" w:eastAsia="Arial" w:hAnsi="Times New Roman" w:cs="Times New Roman"/>
          <w:sz w:val="26"/>
          <w:szCs w:val="26"/>
        </w:rPr>
        <w:t>T</w:t>
      </w:r>
      <w:r w:rsidRPr="003319F2">
        <w:rPr>
          <w:rFonts w:ascii="Times New Roman" w:eastAsia="Arial" w:hAnsi="Times New Roman" w:cs="Times New Roman"/>
          <w:sz w:val="26"/>
          <w:szCs w:val="26"/>
        </w:rPr>
        <w:t>he Committee recommends that district courts review this issue prior to instructing a jury on § 1981 retaliation.</w:t>
      </w:r>
    </w:p>
    <w:p w:rsidR="00CC2B40" w:rsidRDefault="00CC2B40" w:rsidP="00F1773E">
      <w:pPr>
        <w:spacing w:after="240" w:line="240" w:lineRule="auto"/>
        <w:ind w:firstLine="720"/>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2 \s 5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Pretext</w:t>
      </w:r>
    </w:p>
    <w:p w:rsidR="00CC2B40" w:rsidRPr="003319F2" w:rsidRDefault="00CC2B40" w:rsidP="00F1773E">
      <w:pPr>
        <w:spacing w:after="240" w:line="240" w:lineRule="auto"/>
        <w:ind w:firstLine="720"/>
        <w:jc w:val="both"/>
        <w:rPr>
          <w:rFonts w:ascii="Times New Roman" w:eastAsia="Arial" w:hAnsi="Times New Roman" w:cs="Times New Roman"/>
          <w:sz w:val="26"/>
          <w:szCs w:val="26"/>
        </w:rPr>
      </w:pPr>
      <w:r w:rsidRPr="003319F2">
        <w:rPr>
          <w:rFonts w:ascii="Times New Roman" w:eastAsia="Arial" w:hAnsi="Times New Roman" w:cs="Times New Roman"/>
          <w:sz w:val="26"/>
          <w:szCs w:val="26"/>
        </w:rPr>
        <w:t xml:space="preserve">Pattern Instruction 4.21 includes in brackets an optional charge discussing the inference of pretext. The basis for this charge is explained in further detail in the annotations following Pattern Instruction 4.5, </w:t>
      </w:r>
      <w:r w:rsidRPr="006E3AEE">
        <w:rPr>
          <w:rFonts w:ascii="Times New Roman" w:eastAsia="Arial" w:hAnsi="Times New Roman" w:cs="Times New Roman"/>
          <w:i/>
          <w:sz w:val="26"/>
          <w:szCs w:val="26"/>
        </w:rPr>
        <w:t>supra</w:t>
      </w:r>
      <w:r w:rsidRPr="003319F2">
        <w:rPr>
          <w:rFonts w:ascii="Times New Roman" w:eastAsia="Arial" w:hAnsi="Times New Roman" w:cs="Times New Roman"/>
          <w:sz w:val="26"/>
          <w:szCs w:val="26"/>
        </w:rPr>
        <w:t>.</w:t>
      </w:r>
    </w:p>
    <w:p w:rsidR="00CC2B40" w:rsidRDefault="00CC2B40" w:rsidP="00F1773E">
      <w:pPr>
        <w:spacing w:after="240" w:line="240" w:lineRule="auto"/>
        <w:jc w:val="both"/>
        <w:rPr>
          <w:rFonts w:ascii="Times New Roman" w:eastAsia="Arial" w:hAnsi="Times New Roman" w:cs="Times New Roman"/>
          <w:b/>
          <w:sz w:val="26"/>
          <w:szCs w:val="26"/>
        </w:rPr>
      </w:pPr>
      <w:r>
        <w:rPr>
          <w:rFonts w:ascii="Times New Roman" w:eastAsia="Arial" w:hAnsi="Times New Roman" w:cs="Times New Roman"/>
          <w:b/>
          <w:sz w:val="26"/>
          <w:szCs w:val="26"/>
        </w:rPr>
        <w:lastRenderedPageBreak/>
        <w:fldChar w:fldCharType="begin"/>
      </w:r>
      <w:r>
        <w:rPr>
          <w:rFonts w:ascii="Times New Roman" w:eastAsia="Arial" w:hAnsi="Times New Roman" w:cs="Times New Roman"/>
          <w:b/>
          <w:sz w:val="26"/>
          <w:szCs w:val="26"/>
        </w:rPr>
        <w:instrText xml:space="preserve"> LISTNUM  OutlineDefault \l 1 \s 3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Remedies</w:t>
      </w:r>
    </w:p>
    <w:p w:rsidR="00CC2B40" w:rsidRPr="003319F2" w:rsidRDefault="00CC2B40" w:rsidP="00F1773E">
      <w:pPr>
        <w:spacing w:after="240" w:line="240" w:lineRule="auto"/>
        <w:ind w:firstLine="720"/>
        <w:jc w:val="both"/>
        <w:rPr>
          <w:rFonts w:ascii="Times New Roman" w:eastAsia="Arial" w:hAnsi="Times New Roman" w:cs="Times New Roman"/>
          <w:sz w:val="26"/>
          <w:szCs w:val="26"/>
        </w:rPr>
      </w:pPr>
      <w:r w:rsidRPr="003319F2">
        <w:rPr>
          <w:rFonts w:ascii="Times New Roman" w:eastAsia="Arial" w:hAnsi="Times New Roman" w:cs="Times New Roman"/>
          <w:sz w:val="26"/>
          <w:szCs w:val="26"/>
        </w:rPr>
        <w:t xml:space="preserve">The remedies for Title VII retaliation claims match the remedies for Title VII disparate treatment claim. </w:t>
      </w:r>
      <w:r w:rsidRPr="006E3AEE">
        <w:rPr>
          <w:rFonts w:ascii="Times New Roman" w:eastAsia="Arial" w:hAnsi="Times New Roman" w:cs="Times New Roman"/>
          <w:i/>
          <w:sz w:val="26"/>
          <w:szCs w:val="26"/>
        </w:rPr>
        <w:t>See</w:t>
      </w:r>
      <w:r w:rsidRPr="003319F2">
        <w:rPr>
          <w:rFonts w:ascii="Times New Roman" w:eastAsia="Arial" w:hAnsi="Times New Roman" w:cs="Times New Roman"/>
          <w:sz w:val="26"/>
          <w:szCs w:val="26"/>
        </w:rPr>
        <w:t xml:space="preserve"> 42 U.S.C. §§ 1981a, 2000e-5</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5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3 </w:instrText>
      </w:r>
      <w:r>
        <w:rPr>
          <w:rFonts w:ascii="Times New Roman" w:eastAsia="Arial" w:hAnsi="Times New Roman" w:cs="Times New Roman"/>
          <w:sz w:val="26"/>
          <w:szCs w:val="26"/>
        </w:rPr>
        <w:fldChar w:fldCharType="end"/>
      </w:r>
      <w:r w:rsidRPr="003319F2">
        <w:rPr>
          <w:rFonts w:ascii="Times New Roman" w:eastAsia="Arial" w:hAnsi="Times New Roman" w:cs="Times New Roman"/>
          <w:sz w:val="26"/>
          <w:szCs w:val="26"/>
        </w:rPr>
        <w:t xml:space="preserve">(B),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7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sidRPr="003319F2">
        <w:rPr>
          <w:rFonts w:ascii="Times New Roman" w:eastAsia="Arial" w:hAnsi="Times New Roman" w:cs="Times New Roman"/>
          <w:sz w:val="26"/>
          <w:szCs w:val="26"/>
        </w:rPr>
        <w:t>. Thus, the jury charges on damages in the corresponding disparate treatment instructions may be incorporated into the model retaliation instruction as appropriate.</w:t>
      </w:r>
    </w:p>
    <w:p w:rsidR="00CC2B40" w:rsidRDefault="00CC2B40" w:rsidP="00F1773E">
      <w:pPr>
        <w:spacing w:after="240" w:line="240" w:lineRule="auto"/>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1 \s 4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When the Case Involves Both Discrimination and Retaliation Claims</w:t>
      </w:r>
    </w:p>
    <w:p w:rsidR="00725167" w:rsidRPr="00CC2B40" w:rsidRDefault="00CC2B40" w:rsidP="00F1773E">
      <w:pPr>
        <w:spacing w:after="240" w:line="240" w:lineRule="auto"/>
        <w:ind w:firstLine="720"/>
        <w:jc w:val="both"/>
        <w:rPr>
          <w:rFonts w:ascii="Times New Roman" w:eastAsia="Arial" w:hAnsi="Times New Roman" w:cs="Times New Roman"/>
          <w:sz w:val="26"/>
          <w:szCs w:val="26"/>
        </w:rPr>
      </w:pPr>
      <w:r w:rsidRPr="006E3AEE">
        <w:rPr>
          <w:rFonts w:ascii="Times New Roman" w:eastAsia="Arial" w:hAnsi="Times New Roman" w:cs="Times New Roman"/>
          <w:sz w:val="26"/>
          <w:szCs w:val="26"/>
        </w:rPr>
        <w:t>In some cases, a plaintiff will bring both discrimination and retaliation claims. In those cases, the court should charge separately all of the elements of a discrimination and retaliation claim except damages, then give a charge on damages that a</w:t>
      </w:r>
      <w:r>
        <w:rPr>
          <w:rFonts w:ascii="Times New Roman" w:eastAsia="Arial" w:hAnsi="Times New Roman" w:cs="Times New Roman"/>
          <w:sz w:val="26"/>
          <w:szCs w:val="26"/>
        </w:rPr>
        <w:t>pplies to both types of claims.</w:t>
      </w:r>
    </w:p>
    <w:sectPr w:rsidR="00725167" w:rsidRPr="00CC2B40" w:rsidSect="00B270F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A60" w:rsidRDefault="00541A60" w:rsidP="00541A60">
      <w:pPr>
        <w:spacing w:after="0" w:line="240" w:lineRule="auto"/>
      </w:pPr>
      <w:r>
        <w:separator/>
      </w:r>
    </w:p>
  </w:endnote>
  <w:endnote w:type="continuationSeparator" w:id="0">
    <w:p w:rsidR="00541A60" w:rsidRDefault="00541A60" w:rsidP="00541A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A60" w:rsidRDefault="00541A60" w:rsidP="00541A60">
      <w:pPr>
        <w:spacing w:after="0" w:line="240" w:lineRule="auto"/>
      </w:pPr>
      <w:r>
        <w:separator/>
      </w:r>
    </w:p>
  </w:footnote>
  <w:footnote w:type="continuationSeparator" w:id="0">
    <w:p w:rsidR="00541A60" w:rsidRDefault="00541A60" w:rsidP="00541A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531"/>
    <w:rsid w:val="00014B03"/>
    <w:rsid w:val="001C4824"/>
    <w:rsid w:val="00204531"/>
    <w:rsid w:val="002B519C"/>
    <w:rsid w:val="003460F3"/>
    <w:rsid w:val="00541A60"/>
    <w:rsid w:val="00656411"/>
    <w:rsid w:val="00725167"/>
    <w:rsid w:val="0081575C"/>
    <w:rsid w:val="00A67430"/>
    <w:rsid w:val="00B270FA"/>
    <w:rsid w:val="00CC2B40"/>
    <w:rsid w:val="00DC18AE"/>
    <w:rsid w:val="00F06274"/>
    <w:rsid w:val="00F177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531"/>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Header">
    <w:name w:val="header"/>
    <w:basedOn w:val="Normal"/>
    <w:link w:val="HeaderChar"/>
    <w:uiPriority w:val="99"/>
    <w:unhideWhenUsed/>
    <w:rsid w:val="00541A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1A60"/>
  </w:style>
  <w:style w:type="paragraph" w:styleId="Footer">
    <w:name w:val="footer"/>
    <w:basedOn w:val="Normal"/>
    <w:link w:val="FooterChar"/>
    <w:uiPriority w:val="99"/>
    <w:unhideWhenUsed/>
    <w:rsid w:val="00541A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1A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531"/>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Header">
    <w:name w:val="header"/>
    <w:basedOn w:val="Normal"/>
    <w:link w:val="HeaderChar"/>
    <w:uiPriority w:val="99"/>
    <w:unhideWhenUsed/>
    <w:rsid w:val="00541A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1A60"/>
  </w:style>
  <w:style w:type="paragraph" w:styleId="Footer">
    <w:name w:val="footer"/>
    <w:basedOn w:val="Normal"/>
    <w:link w:val="FooterChar"/>
    <w:uiPriority w:val="99"/>
    <w:unhideWhenUsed/>
    <w:rsid w:val="00541A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1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1041</Words>
  <Characters>5934</Characters>
  <Application>Microsoft Office Word</Application>
  <DocSecurity>0</DocSecurity>
  <Lines>49</Lines>
  <Paragraphs>13</Paragraphs>
  <ScaleCrop>false</ScaleCrop>
  <LinksUpToDate>false</LinksUpToDate>
  <CharactersWithSpaces>6962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2014-06-09T16:19:00Z</dcterms:created>
  <dcterms:modified xsi:type="dcterms:W3CDTF">2014-06-19T18:09:00Z</dcterms:modified>
</cp:coreProperties>
</file>