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6D" w:rsidRDefault="0089546D" w:rsidP="00443069">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89546D" w:rsidRPr="00C8645F" w:rsidRDefault="0089546D" w:rsidP="00443069">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central issue in determining employee/independent contractor status is the hiring party’s right to control the manner and means by which the work is accomplished.</w:t>
      </w:r>
      <w:r w:rsidRPr="00C8645F">
        <w:rPr>
          <w:rFonts w:ascii="Times New Roman" w:eastAsia="Arial" w:hAnsi="Times New Roman" w:cs="Times New Roman"/>
          <w:sz w:val="26"/>
          <w:szCs w:val="26"/>
        </w:rPr>
        <w:fldChar w:fldCharType="begin"/>
      </w:r>
      <w:r w:rsidRPr="00C8645F">
        <w:rPr>
          <w:rFonts w:ascii="Times New Roman" w:eastAsia="Arial" w:hAnsi="Times New Roman" w:cs="Times New Roman"/>
          <w:sz w:val="26"/>
          <w:szCs w:val="26"/>
        </w:rPr>
        <w:instrText xml:space="preserve"> SEQ CHAPTER \h \r 1</w:instrText>
      </w:r>
      <w:r w:rsidRPr="00C8645F">
        <w:rPr>
          <w:rFonts w:ascii="Times New Roman" w:eastAsia="Arial" w:hAnsi="Times New Roman" w:cs="Times New Roman"/>
          <w:sz w:val="26"/>
          <w:szCs w:val="26"/>
        </w:rPr>
        <w:fldChar w:fldCharType="end"/>
      </w:r>
      <w:r w:rsidRPr="00C8645F">
        <w:rPr>
          <w:rFonts w:ascii="Times New Roman" w:eastAsia="Arial" w:hAnsi="Times New Roman" w:cs="Times New Roman"/>
          <w:sz w:val="26"/>
          <w:szCs w:val="26"/>
        </w:rPr>
        <w:t xml:space="preserve"> </w:t>
      </w:r>
      <w:proofErr w:type="gramStart"/>
      <w:r w:rsidRPr="00C8645F">
        <w:rPr>
          <w:rFonts w:ascii="Times New Roman" w:eastAsia="Arial" w:hAnsi="Times New Roman" w:cs="Times New Roman"/>
          <w:i/>
          <w:sz w:val="26"/>
          <w:szCs w:val="26"/>
        </w:rPr>
        <w:t xml:space="preserve">Garcia v. </w:t>
      </w:r>
      <w:proofErr w:type="spellStart"/>
      <w:r w:rsidRPr="00C8645F">
        <w:rPr>
          <w:rFonts w:ascii="Times New Roman" w:eastAsia="Arial" w:hAnsi="Times New Roman" w:cs="Times New Roman"/>
          <w:i/>
          <w:sz w:val="26"/>
          <w:szCs w:val="26"/>
        </w:rPr>
        <w:t>Copenhaver</w:t>
      </w:r>
      <w:proofErr w:type="spellEnd"/>
      <w:r w:rsidRPr="00C8645F">
        <w:rPr>
          <w:rFonts w:ascii="Times New Roman" w:eastAsia="Arial" w:hAnsi="Times New Roman" w:cs="Times New Roman"/>
          <w:i/>
          <w:sz w:val="26"/>
          <w:szCs w:val="26"/>
        </w:rPr>
        <w:t>, Bell &amp; Assocs., M.D.’s, P.A.</w:t>
      </w:r>
      <w:r w:rsidRPr="00C8645F">
        <w:rPr>
          <w:rFonts w:ascii="Times New Roman" w:eastAsia="Arial" w:hAnsi="Times New Roman" w:cs="Times New Roman"/>
          <w:sz w:val="26"/>
          <w:szCs w:val="26"/>
        </w:rPr>
        <w:t>, 104 F.3d 1256, 1266 (</w:t>
      </w:r>
      <w:r>
        <w:rPr>
          <w:rFonts w:ascii="Times New Roman" w:eastAsia="Arial" w:hAnsi="Times New Roman" w:cs="Times New Roman"/>
          <w:sz w:val="26"/>
          <w:szCs w:val="26"/>
        </w:rPr>
        <w:t>11</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Cir. 1997) (claim under the ADEA).</w:t>
      </w:r>
      <w:proofErr w:type="gramEnd"/>
      <w:r w:rsidRPr="00C8645F">
        <w:rPr>
          <w:rFonts w:ascii="Times New Roman" w:eastAsia="Arial" w:hAnsi="Times New Roman" w:cs="Times New Roman"/>
          <w:sz w:val="26"/>
          <w:szCs w:val="26"/>
        </w:rPr>
        <w:t xml:space="preserve"> Whether a person is an employee or an independent contractor is a question of fact for the jury. </w:t>
      </w:r>
      <w:r w:rsidRPr="00C8645F">
        <w:rPr>
          <w:rFonts w:ascii="Times New Roman" w:eastAsia="Arial" w:hAnsi="Times New Roman" w:cs="Times New Roman"/>
          <w:i/>
          <w:sz w:val="26"/>
          <w:szCs w:val="26"/>
        </w:rPr>
        <w:t>Id.; see also Morrison v. Amway Corp.</w:t>
      </w:r>
      <w:r w:rsidRPr="00C8645F">
        <w:rPr>
          <w:rFonts w:ascii="Times New Roman" w:eastAsia="Arial" w:hAnsi="Times New Roman" w:cs="Times New Roman"/>
          <w:sz w:val="26"/>
          <w:szCs w:val="26"/>
        </w:rPr>
        <w:t>, 323 F.3d 920, 926-28 (</w:t>
      </w:r>
      <w:r>
        <w:rPr>
          <w:rFonts w:ascii="Times New Roman" w:eastAsia="Arial" w:hAnsi="Times New Roman" w:cs="Times New Roman"/>
          <w:sz w:val="26"/>
          <w:szCs w:val="26"/>
        </w:rPr>
        <w:t>11</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Cir. 2003) (claim under the FMLA).</w:t>
      </w:r>
    </w:p>
    <w:p w:rsidR="0089546D" w:rsidRPr="00C8645F" w:rsidRDefault="0089546D" w:rsidP="00443069">
      <w:pPr>
        <w:spacing w:after="240" w:line="240" w:lineRule="auto"/>
        <w:ind w:firstLine="720"/>
        <w:jc w:val="both"/>
        <w:rPr>
          <w:rFonts w:ascii="Times New Roman" w:eastAsia="Arial" w:hAnsi="Times New Roman" w:cs="Times New Roman"/>
          <w:sz w:val="26"/>
          <w:szCs w:val="26"/>
        </w:rPr>
      </w:pPr>
      <w:r w:rsidRPr="00C8645F">
        <w:rPr>
          <w:rFonts w:ascii="Times New Roman" w:eastAsia="Arial" w:hAnsi="Times New Roman" w:cs="Times New Roman"/>
          <w:sz w:val="26"/>
          <w:szCs w:val="26"/>
        </w:rPr>
        <w:t xml:space="preserve">In cases under the Fair Labor Standards Act, the Court of Appeals has applied an “economic realities” test under which persons are considered employees if they “are dependent upon the business to which they render service.” </w:t>
      </w:r>
      <w:proofErr w:type="spellStart"/>
      <w:proofErr w:type="gramStart"/>
      <w:r w:rsidRPr="00C8645F">
        <w:rPr>
          <w:rFonts w:ascii="Times New Roman" w:eastAsia="Arial" w:hAnsi="Times New Roman" w:cs="Times New Roman"/>
          <w:i/>
          <w:sz w:val="26"/>
          <w:szCs w:val="26"/>
        </w:rPr>
        <w:t>Mednick</w:t>
      </w:r>
      <w:proofErr w:type="spellEnd"/>
      <w:r w:rsidRPr="00C8645F">
        <w:rPr>
          <w:rFonts w:ascii="Times New Roman" w:eastAsia="Arial" w:hAnsi="Times New Roman" w:cs="Times New Roman"/>
          <w:i/>
          <w:sz w:val="26"/>
          <w:szCs w:val="26"/>
        </w:rPr>
        <w:t xml:space="preserve"> v. Albert Enters., Inc.</w:t>
      </w:r>
      <w:r w:rsidRPr="00C8645F">
        <w:rPr>
          <w:rFonts w:ascii="Times New Roman" w:eastAsia="Arial" w:hAnsi="Times New Roman" w:cs="Times New Roman"/>
          <w:sz w:val="26"/>
          <w:szCs w:val="26"/>
        </w:rPr>
        <w:t>, 508 F.2d 297, 299-300 (</w:t>
      </w:r>
      <w:r>
        <w:rPr>
          <w:rFonts w:ascii="Times New Roman" w:eastAsia="Arial" w:hAnsi="Times New Roman" w:cs="Times New Roman"/>
          <w:sz w:val="26"/>
          <w:szCs w:val="26"/>
        </w:rPr>
        <w:t>5</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 xml:space="preserve">Cir. 1975); </w:t>
      </w:r>
      <w:proofErr w:type="spellStart"/>
      <w:r w:rsidRPr="00C8645F">
        <w:rPr>
          <w:rFonts w:ascii="Times New Roman" w:eastAsia="Arial" w:hAnsi="Times New Roman" w:cs="Times New Roman"/>
          <w:i/>
          <w:sz w:val="26"/>
          <w:szCs w:val="26"/>
        </w:rPr>
        <w:t>Villareal</w:t>
      </w:r>
      <w:proofErr w:type="spellEnd"/>
      <w:r w:rsidRPr="00C8645F">
        <w:rPr>
          <w:rFonts w:ascii="Times New Roman" w:eastAsia="Arial" w:hAnsi="Times New Roman" w:cs="Times New Roman"/>
          <w:i/>
          <w:sz w:val="26"/>
          <w:szCs w:val="26"/>
        </w:rPr>
        <w:t xml:space="preserve"> v. </w:t>
      </w:r>
      <w:proofErr w:type="spellStart"/>
      <w:r w:rsidRPr="00C8645F">
        <w:rPr>
          <w:rFonts w:ascii="Times New Roman" w:eastAsia="Arial" w:hAnsi="Times New Roman" w:cs="Times New Roman"/>
          <w:i/>
          <w:sz w:val="26"/>
          <w:szCs w:val="26"/>
        </w:rPr>
        <w:t>Woodham</w:t>
      </w:r>
      <w:proofErr w:type="spellEnd"/>
      <w:r w:rsidRPr="00C8645F">
        <w:rPr>
          <w:rFonts w:ascii="Times New Roman" w:eastAsia="Arial" w:hAnsi="Times New Roman" w:cs="Times New Roman"/>
          <w:sz w:val="26"/>
          <w:szCs w:val="26"/>
        </w:rPr>
        <w:t>, 113 F.3d 202, 205 (</w:t>
      </w:r>
      <w:r>
        <w:rPr>
          <w:rFonts w:ascii="Times New Roman" w:eastAsia="Arial" w:hAnsi="Times New Roman" w:cs="Times New Roman"/>
          <w:sz w:val="26"/>
          <w:szCs w:val="26"/>
        </w:rPr>
        <w:t>11</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Cir. 1997).</w:t>
      </w:r>
      <w:proofErr w:type="gramEnd"/>
    </w:p>
    <w:p w:rsidR="00725167" w:rsidRPr="0089546D" w:rsidRDefault="0089546D" w:rsidP="00443069">
      <w:pPr>
        <w:spacing w:after="240" w:line="240" w:lineRule="auto"/>
        <w:ind w:firstLine="720"/>
        <w:jc w:val="both"/>
        <w:rPr>
          <w:rFonts w:ascii="Times New Roman" w:eastAsia="Arial" w:hAnsi="Times New Roman" w:cs="Times New Roman"/>
          <w:sz w:val="26"/>
          <w:szCs w:val="26"/>
        </w:rPr>
      </w:pPr>
      <w:r w:rsidRPr="00C8645F">
        <w:rPr>
          <w:rFonts w:ascii="Times New Roman" w:eastAsia="Arial" w:hAnsi="Times New Roman" w:cs="Times New Roman"/>
          <w:sz w:val="26"/>
          <w:szCs w:val="26"/>
        </w:rPr>
        <w:t xml:space="preserve">This instruction follows the Eleventh Circuit’s adoption of a standard that combines the “economic realities” test and the common law test. </w:t>
      </w:r>
      <w:proofErr w:type="spellStart"/>
      <w:r w:rsidRPr="00C8645F">
        <w:rPr>
          <w:rFonts w:ascii="Times New Roman" w:eastAsia="Arial" w:hAnsi="Times New Roman" w:cs="Times New Roman"/>
          <w:i/>
          <w:sz w:val="26"/>
          <w:szCs w:val="26"/>
        </w:rPr>
        <w:t>Cuddeback</w:t>
      </w:r>
      <w:proofErr w:type="spellEnd"/>
      <w:r w:rsidRPr="00C8645F">
        <w:rPr>
          <w:rFonts w:ascii="Times New Roman" w:eastAsia="Arial" w:hAnsi="Times New Roman" w:cs="Times New Roman"/>
          <w:i/>
          <w:sz w:val="26"/>
          <w:szCs w:val="26"/>
        </w:rPr>
        <w:t xml:space="preserve"> v. Fla. Bd. of Educ.</w:t>
      </w:r>
      <w:r w:rsidRPr="00C8645F">
        <w:rPr>
          <w:rFonts w:ascii="Times New Roman" w:eastAsia="Arial" w:hAnsi="Times New Roman" w:cs="Times New Roman"/>
          <w:sz w:val="26"/>
          <w:szCs w:val="26"/>
        </w:rPr>
        <w:t>, 381 F.3d 1230, 1234 (</w:t>
      </w:r>
      <w:r>
        <w:rPr>
          <w:rFonts w:ascii="Times New Roman" w:eastAsia="Arial" w:hAnsi="Times New Roman" w:cs="Times New Roman"/>
          <w:sz w:val="26"/>
          <w:szCs w:val="26"/>
        </w:rPr>
        <w:t>11</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 xml:space="preserve">Cir. </w:t>
      </w:r>
      <w:r>
        <w:rPr>
          <w:rFonts w:ascii="Times New Roman" w:eastAsia="Arial" w:hAnsi="Times New Roman" w:cs="Times New Roman"/>
          <w:sz w:val="26"/>
          <w:szCs w:val="26"/>
        </w:rPr>
        <w:t xml:space="preserve">2004) (claim under Title VII); </w:t>
      </w:r>
      <w:r w:rsidRPr="00C8645F">
        <w:rPr>
          <w:rFonts w:ascii="Times New Roman" w:eastAsia="Arial" w:hAnsi="Times New Roman" w:cs="Times New Roman"/>
          <w:i/>
          <w:sz w:val="26"/>
          <w:szCs w:val="26"/>
        </w:rPr>
        <w:t>see also Wolf v. Coca-Cola Co.</w:t>
      </w:r>
      <w:r w:rsidRPr="00C8645F">
        <w:rPr>
          <w:rFonts w:ascii="Times New Roman" w:eastAsia="Arial" w:hAnsi="Times New Roman" w:cs="Times New Roman"/>
          <w:sz w:val="26"/>
          <w:szCs w:val="26"/>
        </w:rPr>
        <w:t>, 200 F.3d 1337, 1340 (</w:t>
      </w:r>
      <w:r>
        <w:rPr>
          <w:rFonts w:ascii="Times New Roman" w:eastAsia="Arial" w:hAnsi="Times New Roman" w:cs="Times New Roman"/>
          <w:sz w:val="26"/>
          <w:szCs w:val="26"/>
        </w:rPr>
        <w:t>11</w:t>
      </w:r>
      <w:r w:rsidRPr="00C8645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C8645F">
        <w:rPr>
          <w:rFonts w:ascii="Times New Roman" w:eastAsia="Arial" w:hAnsi="Times New Roman" w:cs="Times New Roman"/>
          <w:sz w:val="26"/>
          <w:szCs w:val="26"/>
        </w:rPr>
        <w:t>Cir. 2000) (the term “employee” as used in the ERISA statute refers to the common law analysis).</w:t>
      </w:r>
    </w:p>
    <w:sectPr w:rsidR="00725167" w:rsidRPr="0089546D" w:rsidSect="00E00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AF" w:rsidRDefault="004B7AAF" w:rsidP="004B7AAF">
      <w:pPr>
        <w:spacing w:after="0" w:line="240" w:lineRule="auto"/>
      </w:pPr>
      <w:r>
        <w:separator/>
      </w:r>
    </w:p>
  </w:endnote>
  <w:endnote w:type="continuationSeparator" w:id="0">
    <w:p w:rsidR="004B7AAF" w:rsidRDefault="004B7AAF" w:rsidP="004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AF" w:rsidRDefault="004B7AAF" w:rsidP="004B7AAF">
      <w:pPr>
        <w:spacing w:after="0" w:line="240" w:lineRule="auto"/>
      </w:pPr>
      <w:r>
        <w:separator/>
      </w:r>
    </w:p>
  </w:footnote>
  <w:footnote w:type="continuationSeparator" w:id="0">
    <w:p w:rsidR="004B7AAF" w:rsidRDefault="004B7AAF" w:rsidP="004B7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E02CA"/>
    <w:rsid w:val="002B598D"/>
    <w:rsid w:val="002B67EE"/>
    <w:rsid w:val="00427B27"/>
    <w:rsid w:val="00443069"/>
    <w:rsid w:val="004B7AAF"/>
    <w:rsid w:val="00725167"/>
    <w:rsid w:val="0076151A"/>
    <w:rsid w:val="007D42A6"/>
    <w:rsid w:val="0081575C"/>
    <w:rsid w:val="0089546D"/>
    <w:rsid w:val="008B5673"/>
    <w:rsid w:val="00927349"/>
    <w:rsid w:val="00A45395"/>
    <w:rsid w:val="00BA403B"/>
    <w:rsid w:val="00C473BC"/>
    <w:rsid w:val="00DC18AE"/>
    <w:rsid w:val="00E00CE7"/>
    <w:rsid w:val="00E33549"/>
    <w:rsid w:val="00E7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4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AF"/>
  </w:style>
  <w:style w:type="paragraph" w:styleId="Footer">
    <w:name w:val="footer"/>
    <w:basedOn w:val="Normal"/>
    <w:link w:val="FooterChar"/>
    <w:uiPriority w:val="99"/>
    <w:unhideWhenUsed/>
    <w:rsid w:val="004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4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AF"/>
  </w:style>
  <w:style w:type="paragraph" w:styleId="Footer">
    <w:name w:val="footer"/>
    <w:basedOn w:val="Normal"/>
    <w:link w:val="FooterChar"/>
    <w:uiPriority w:val="99"/>
    <w:unhideWhenUsed/>
    <w:rsid w:val="004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2014-06-09T16:30:00Z</dcterms:created>
  <dcterms:modified xsi:type="dcterms:W3CDTF">2014-06-19T17:32:00Z</dcterms:modified>
</cp:coreProperties>
</file>