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7A" w:rsidRDefault="00F9797A" w:rsidP="009C21F2">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F9797A" w:rsidRPr="006E7A92" w:rsidRDefault="00F9797A" w:rsidP="009C21F2">
      <w:pPr>
        <w:spacing w:after="240" w:line="240" w:lineRule="auto"/>
        <w:ind w:firstLine="720"/>
        <w:jc w:val="both"/>
        <w:rPr>
          <w:rFonts w:ascii="Times New Roman" w:eastAsia="Arial" w:hAnsi="Times New Roman" w:cs="Times New Roman"/>
          <w:sz w:val="26"/>
          <w:szCs w:val="26"/>
        </w:rPr>
      </w:pPr>
      <w:r w:rsidRPr="006E7A92">
        <w:rPr>
          <w:rFonts w:ascii="Times New Roman" w:eastAsia="Arial" w:hAnsi="Times New Roman" w:cs="Times New Roman"/>
          <w:sz w:val="26"/>
          <w:szCs w:val="26"/>
        </w:rPr>
        <w:fldChar w:fldCharType="begin"/>
      </w:r>
      <w:r w:rsidRPr="006E7A92">
        <w:rPr>
          <w:rFonts w:ascii="Times New Roman" w:eastAsia="Arial" w:hAnsi="Times New Roman" w:cs="Times New Roman"/>
          <w:sz w:val="26"/>
          <w:szCs w:val="26"/>
        </w:rPr>
        <w:instrText xml:space="preserve"> SEQ CHAPTER \h \r 1</w:instrText>
      </w:r>
      <w:r w:rsidRPr="006E7A92">
        <w:rPr>
          <w:rFonts w:ascii="Times New Roman" w:eastAsia="Arial" w:hAnsi="Times New Roman" w:cs="Times New Roman"/>
          <w:sz w:val="26"/>
          <w:szCs w:val="26"/>
        </w:rPr>
        <w:fldChar w:fldCharType="end"/>
      </w:r>
      <w:r w:rsidRPr="006E7A92">
        <w:rPr>
          <w:rFonts w:ascii="Times New Roman" w:eastAsia="Arial" w:hAnsi="Times New Roman" w:cs="Times New Roman"/>
          <w:sz w:val="26"/>
          <w:szCs w:val="26"/>
        </w:rPr>
        <w:t xml:space="preserve">This instruction is derived from </w:t>
      </w:r>
      <w:r w:rsidRPr="006E7A92">
        <w:rPr>
          <w:rFonts w:ascii="Times New Roman" w:eastAsia="Arial" w:hAnsi="Times New Roman" w:cs="Times New Roman"/>
          <w:i/>
          <w:sz w:val="26"/>
          <w:szCs w:val="26"/>
        </w:rPr>
        <w:t>Aimable v. Long and Scott Farms</w:t>
      </w:r>
      <w:r w:rsidRPr="006E7A92">
        <w:rPr>
          <w:rFonts w:ascii="Times New Roman" w:eastAsia="Arial" w:hAnsi="Times New Roman" w:cs="Times New Roman"/>
          <w:sz w:val="26"/>
          <w:szCs w:val="26"/>
        </w:rPr>
        <w:t>, 20 F.3d 434 (</w:t>
      </w:r>
      <w:r>
        <w:rPr>
          <w:rFonts w:ascii="Times New Roman" w:eastAsia="Arial" w:hAnsi="Times New Roman" w:cs="Times New Roman"/>
          <w:sz w:val="26"/>
          <w:szCs w:val="26"/>
        </w:rPr>
        <w:t>11</w:t>
      </w:r>
      <w:r w:rsidRPr="006E7A9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6E7A92">
        <w:rPr>
          <w:rFonts w:ascii="Times New Roman" w:eastAsia="Arial" w:hAnsi="Times New Roman" w:cs="Times New Roman"/>
          <w:sz w:val="26"/>
          <w:szCs w:val="26"/>
        </w:rPr>
        <w:t xml:space="preserve">Cir. 1994), which applies the economic realities test. </w:t>
      </w:r>
      <w:r w:rsidRPr="006E7A92">
        <w:rPr>
          <w:rFonts w:ascii="Times New Roman" w:eastAsia="Arial" w:hAnsi="Times New Roman" w:cs="Times New Roman"/>
          <w:i/>
          <w:sz w:val="26"/>
          <w:szCs w:val="26"/>
        </w:rPr>
        <w:t>See also Antenor v. D &amp; S Farms</w:t>
      </w:r>
      <w:r w:rsidRPr="006E7A92">
        <w:rPr>
          <w:rFonts w:ascii="Times New Roman" w:eastAsia="Arial" w:hAnsi="Times New Roman" w:cs="Times New Roman"/>
          <w:sz w:val="26"/>
          <w:szCs w:val="26"/>
        </w:rPr>
        <w:t>, 88 F.3d 925 (</w:t>
      </w:r>
      <w:r>
        <w:rPr>
          <w:rFonts w:ascii="Times New Roman" w:eastAsia="Arial" w:hAnsi="Times New Roman" w:cs="Times New Roman"/>
          <w:sz w:val="26"/>
          <w:szCs w:val="26"/>
        </w:rPr>
        <w:t>11</w:t>
      </w:r>
      <w:r w:rsidRPr="006E7A9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6E7A92">
        <w:rPr>
          <w:rFonts w:ascii="Times New Roman" w:eastAsia="Arial" w:hAnsi="Times New Roman" w:cs="Times New Roman"/>
          <w:sz w:val="26"/>
          <w:szCs w:val="26"/>
        </w:rPr>
        <w:t xml:space="preserve">Cir. 1996) and </w:t>
      </w:r>
      <w:r w:rsidRPr="006E7A92">
        <w:rPr>
          <w:rFonts w:ascii="Times New Roman" w:eastAsia="Arial" w:hAnsi="Times New Roman" w:cs="Times New Roman"/>
          <w:i/>
          <w:sz w:val="26"/>
          <w:szCs w:val="26"/>
        </w:rPr>
        <w:t>Charles v. Burton</w:t>
      </w:r>
      <w:r w:rsidRPr="006E7A92">
        <w:rPr>
          <w:rFonts w:ascii="Times New Roman" w:eastAsia="Arial" w:hAnsi="Times New Roman" w:cs="Times New Roman"/>
          <w:sz w:val="26"/>
          <w:szCs w:val="26"/>
        </w:rPr>
        <w:t>, 169 F.3d 1322 (</w:t>
      </w:r>
      <w:r>
        <w:rPr>
          <w:rFonts w:ascii="Times New Roman" w:eastAsia="Arial" w:hAnsi="Times New Roman" w:cs="Times New Roman"/>
          <w:sz w:val="26"/>
          <w:szCs w:val="26"/>
        </w:rPr>
        <w:t>11</w:t>
      </w:r>
      <w:r w:rsidRPr="006E7A9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6E7A92">
        <w:rPr>
          <w:rFonts w:ascii="Times New Roman" w:eastAsia="Arial" w:hAnsi="Times New Roman" w:cs="Times New Roman"/>
          <w:sz w:val="26"/>
          <w:szCs w:val="26"/>
        </w:rPr>
        <w:t xml:space="preserve">Cir. 1999) (per curiam), which were “vertical” joint employment cases. For “horizontal” joint employment issues under the Fair Labor Standards Act, consideration of the regulations may be of assistance. </w:t>
      </w:r>
      <w:r w:rsidRPr="006E7A92">
        <w:rPr>
          <w:rFonts w:ascii="Times New Roman" w:eastAsia="Arial" w:hAnsi="Times New Roman" w:cs="Times New Roman"/>
          <w:i/>
          <w:sz w:val="26"/>
          <w:szCs w:val="26"/>
        </w:rPr>
        <w:t>See</w:t>
      </w:r>
      <w:r w:rsidRPr="006E7A92">
        <w:rPr>
          <w:rFonts w:ascii="Times New Roman" w:eastAsia="Arial" w:hAnsi="Times New Roman" w:cs="Times New Roman"/>
          <w:sz w:val="26"/>
          <w:szCs w:val="26"/>
        </w:rPr>
        <w:t xml:space="preserve"> 29 C.F.R. § 791.2</w:t>
      </w:r>
      <w:r w:rsidR="009C21F2">
        <w:rPr>
          <w:rFonts w:ascii="Times New Roman" w:eastAsia="Arial" w:hAnsi="Times New Roman" w:cs="Times New Roman"/>
          <w:sz w:val="26"/>
          <w:szCs w:val="26"/>
        </w:rPr>
        <w:fldChar w:fldCharType="begin"/>
      </w:r>
      <w:r w:rsidR="009C21F2">
        <w:rPr>
          <w:rFonts w:ascii="Times New Roman" w:eastAsia="Arial" w:hAnsi="Times New Roman" w:cs="Times New Roman"/>
          <w:sz w:val="26"/>
          <w:szCs w:val="26"/>
        </w:rPr>
        <w:instrText xml:space="preserve"> LISTNUM  NumberDefault \l 5 \s 1 </w:instrText>
      </w:r>
      <w:r w:rsidR="009C21F2">
        <w:rPr>
          <w:rFonts w:ascii="Times New Roman" w:eastAsia="Arial" w:hAnsi="Times New Roman" w:cs="Times New Roman"/>
          <w:sz w:val="26"/>
          <w:szCs w:val="26"/>
        </w:rPr>
        <w:fldChar w:fldCharType="end"/>
      </w:r>
      <w:r w:rsidRPr="006E7A92">
        <w:rPr>
          <w:rFonts w:ascii="Times New Roman" w:eastAsia="Arial" w:hAnsi="Times New Roman" w:cs="Times New Roman"/>
          <w:sz w:val="26"/>
          <w:szCs w:val="26"/>
        </w:rPr>
        <w:t>.</w:t>
      </w:r>
    </w:p>
    <w:p w:rsidR="00F9797A" w:rsidRPr="006E7A92" w:rsidRDefault="00F9797A" w:rsidP="009C21F2">
      <w:pPr>
        <w:spacing w:after="240" w:line="240" w:lineRule="auto"/>
        <w:jc w:val="both"/>
        <w:rPr>
          <w:rFonts w:ascii="Times New Roman" w:eastAsia="Arial" w:hAnsi="Times New Roman" w:cs="Times New Roman"/>
          <w:sz w:val="26"/>
          <w:szCs w:val="26"/>
        </w:rPr>
      </w:pPr>
      <w:r w:rsidRPr="006E7A92">
        <w:rPr>
          <w:rFonts w:ascii="Times New Roman" w:eastAsia="Arial" w:hAnsi="Times New Roman" w:cs="Times New Roman"/>
          <w:sz w:val="26"/>
          <w:szCs w:val="26"/>
        </w:rPr>
        <w:t>Under the regulations:</w:t>
      </w:r>
    </w:p>
    <w:p w:rsidR="00F9797A" w:rsidRPr="006E7A92" w:rsidRDefault="00F9797A" w:rsidP="009C21F2">
      <w:pPr>
        <w:spacing w:after="240" w:line="240" w:lineRule="auto"/>
        <w:ind w:left="720" w:right="720"/>
        <w:jc w:val="both"/>
        <w:rPr>
          <w:rFonts w:ascii="Times New Roman" w:eastAsia="Arial" w:hAnsi="Times New Roman" w:cs="Times New Roman"/>
          <w:sz w:val="26"/>
          <w:szCs w:val="26"/>
        </w:rPr>
      </w:pPr>
      <w:r w:rsidRPr="006E7A92">
        <w:rPr>
          <w:rFonts w:ascii="Times New Roman" w:eastAsia="Arial" w:hAnsi="Times New Roman" w:cs="Times New Roman"/>
          <w:sz w:val="26"/>
          <w:szCs w:val="26"/>
        </w:rPr>
        <w:t>Where the employee performs work which simultaneously benefits two or more employers, or works for two or more employers at different times during the workweek, a joint employment relationship generally will be considered to exist in situations such as:</w:t>
      </w:r>
    </w:p>
    <w:p w:rsidR="00F9797A" w:rsidRPr="006E7A92" w:rsidRDefault="009C21F2" w:rsidP="009C21F2">
      <w:pPr>
        <w:spacing w:after="240" w:line="240" w:lineRule="auto"/>
        <w:ind w:left="1440" w:right="144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sidR="00F9797A" w:rsidRPr="006E7A92">
        <w:rPr>
          <w:rFonts w:ascii="Times New Roman" w:eastAsia="Arial" w:hAnsi="Times New Roman" w:cs="Times New Roman"/>
          <w:sz w:val="26"/>
          <w:szCs w:val="26"/>
        </w:rPr>
        <w:t>Where there is an arrangement between the employers to share the employee’s services, as, for example, to interchange employees; or</w:t>
      </w:r>
    </w:p>
    <w:p w:rsidR="00F9797A" w:rsidRPr="006E7A92" w:rsidRDefault="009C21F2" w:rsidP="009C21F2">
      <w:pPr>
        <w:spacing w:after="240" w:line="240" w:lineRule="auto"/>
        <w:ind w:left="1440" w:right="144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00F9797A" w:rsidRPr="006E7A92">
        <w:rPr>
          <w:rFonts w:ascii="Times New Roman" w:eastAsia="Arial" w:hAnsi="Times New Roman" w:cs="Times New Roman"/>
          <w:sz w:val="26"/>
          <w:szCs w:val="26"/>
        </w:rPr>
        <w:t xml:space="preserve"> Where one employer is acting directly or indirectly in the interest of the other employer (or employers) in relation to the employee; or</w:t>
      </w:r>
    </w:p>
    <w:p w:rsidR="00F9797A" w:rsidRPr="006E7A92" w:rsidRDefault="009C21F2" w:rsidP="009C21F2">
      <w:pPr>
        <w:spacing w:after="240" w:line="240" w:lineRule="auto"/>
        <w:ind w:left="1440" w:right="144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00F9797A" w:rsidRPr="006E7A92">
        <w:rPr>
          <w:rFonts w:ascii="Times New Roman" w:eastAsia="Arial" w:hAnsi="Times New Roman" w:cs="Times New Roman"/>
          <w:sz w:val="26"/>
          <w:szCs w:val="26"/>
        </w:rPr>
        <w:t xml:space="preserve"> Where the employers are not completely disassociated with respect to the employment of a particular employee and may be deemed to share control of the employee, directly or indirectly, by reason of the fact that one employer controls, is controlled by, or is under common control with the other employer.</w:t>
      </w:r>
    </w:p>
    <w:p w:rsidR="00F9797A" w:rsidRPr="006E7A92" w:rsidRDefault="00F9797A" w:rsidP="009C21F2">
      <w:pPr>
        <w:spacing w:after="240" w:line="240" w:lineRule="auto"/>
        <w:jc w:val="both"/>
        <w:rPr>
          <w:rFonts w:ascii="Times New Roman" w:eastAsia="Arial" w:hAnsi="Times New Roman" w:cs="Times New Roman"/>
          <w:sz w:val="26"/>
          <w:szCs w:val="26"/>
        </w:rPr>
      </w:pPr>
      <w:proofErr w:type="gramStart"/>
      <w:r w:rsidRPr="006E7A92">
        <w:rPr>
          <w:rFonts w:ascii="Times New Roman" w:eastAsia="Arial" w:hAnsi="Times New Roman" w:cs="Times New Roman"/>
          <w:sz w:val="26"/>
          <w:szCs w:val="26"/>
        </w:rPr>
        <w:t>29 C.F.R. § 791.2</w:t>
      </w:r>
      <w:proofErr w:type="gramEnd"/>
      <w:r w:rsidR="009C21F2">
        <w:rPr>
          <w:rFonts w:ascii="Times New Roman" w:eastAsia="Arial" w:hAnsi="Times New Roman" w:cs="Times New Roman"/>
          <w:sz w:val="26"/>
          <w:szCs w:val="26"/>
        </w:rPr>
        <w:fldChar w:fldCharType="begin"/>
      </w:r>
      <w:r w:rsidR="009C21F2">
        <w:rPr>
          <w:rFonts w:ascii="Times New Roman" w:eastAsia="Arial" w:hAnsi="Times New Roman" w:cs="Times New Roman"/>
          <w:sz w:val="26"/>
          <w:szCs w:val="26"/>
        </w:rPr>
        <w:instrText xml:space="preserve"> LISTNUM  NumberDefault \l 5 \s 2 </w:instrText>
      </w:r>
      <w:r w:rsidR="009C21F2">
        <w:rPr>
          <w:rFonts w:ascii="Times New Roman" w:eastAsia="Arial" w:hAnsi="Times New Roman" w:cs="Times New Roman"/>
          <w:sz w:val="26"/>
          <w:szCs w:val="26"/>
        </w:rPr>
        <w:fldChar w:fldCharType="end"/>
      </w:r>
      <w:proofErr w:type="gramStart"/>
      <w:r w:rsidRPr="006E7A92">
        <w:rPr>
          <w:rFonts w:ascii="Times New Roman" w:eastAsia="Arial" w:hAnsi="Times New Roman" w:cs="Times New Roman"/>
          <w:sz w:val="26"/>
          <w:szCs w:val="26"/>
        </w:rPr>
        <w:t xml:space="preserve"> (footnotes omitted).</w:t>
      </w:r>
      <w:proofErr w:type="gramEnd"/>
      <w:r w:rsidRPr="006E7A92">
        <w:rPr>
          <w:rFonts w:ascii="Times New Roman" w:eastAsia="Arial" w:hAnsi="Times New Roman" w:cs="Times New Roman"/>
          <w:sz w:val="26"/>
          <w:szCs w:val="26"/>
        </w:rPr>
        <w:t xml:space="preserve"> </w:t>
      </w:r>
    </w:p>
    <w:p w:rsidR="00725167" w:rsidRPr="00F9797A" w:rsidRDefault="00F9797A" w:rsidP="009C21F2">
      <w:pPr>
        <w:spacing w:after="240" w:line="240" w:lineRule="auto"/>
        <w:ind w:firstLine="720"/>
        <w:jc w:val="both"/>
        <w:rPr>
          <w:rFonts w:ascii="Times New Roman" w:eastAsia="Arial" w:hAnsi="Times New Roman" w:cs="Times New Roman"/>
          <w:sz w:val="26"/>
          <w:szCs w:val="26"/>
        </w:rPr>
      </w:pPr>
      <w:r w:rsidRPr="006E7A92">
        <w:rPr>
          <w:rFonts w:ascii="Times New Roman" w:eastAsia="Arial" w:hAnsi="Times New Roman" w:cs="Times New Roman"/>
          <w:sz w:val="26"/>
          <w:szCs w:val="26"/>
        </w:rPr>
        <w:t xml:space="preserve">The Eleventh Circuit determined that the question of employer status under the ADEA intertwines jurisdiction and the merits and so must be resolved by the jury. </w:t>
      </w:r>
      <w:r w:rsidRPr="006E7A92">
        <w:rPr>
          <w:rFonts w:ascii="Times New Roman" w:eastAsia="Arial" w:hAnsi="Times New Roman" w:cs="Times New Roman"/>
          <w:i/>
          <w:sz w:val="26"/>
          <w:szCs w:val="26"/>
        </w:rPr>
        <w:t>Garcia v. Copenhaver, Bell &amp; Assoc.</w:t>
      </w:r>
      <w:r w:rsidRPr="006E7A92">
        <w:rPr>
          <w:rFonts w:ascii="Times New Roman" w:eastAsia="Arial" w:hAnsi="Times New Roman" w:cs="Times New Roman"/>
          <w:sz w:val="26"/>
          <w:szCs w:val="26"/>
        </w:rPr>
        <w:t>, 104 F.3d 1256, 1264 (</w:t>
      </w:r>
      <w:r>
        <w:rPr>
          <w:rFonts w:ascii="Times New Roman" w:eastAsia="Arial" w:hAnsi="Times New Roman" w:cs="Times New Roman"/>
          <w:sz w:val="26"/>
          <w:szCs w:val="26"/>
        </w:rPr>
        <w:t>11</w:t>
      </w:r>
      <w:r w:rsidRPr="006E7A9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6E7A92">
        <w:rPr>
          <w:rFonts w:ascii="Times New Roman" w:eastAsia="Arial" w:hAnsi="Times New Roman" w:cs="Times New Roman"/>
          <w:sz w:val="26"/>
          <w:szCs w:val="26"/>
        </w:rPr>
        <w:t xml:space="preserve">Cir. 1997). Similarly, in </w:t>
      </w:r>
      <w:r w:rsidRPr="006E7A92">
        <w:rPr>
          <w:rFonts w:ascii="Times New Roman" w:eastAsia="Arial" w:hAnsi="Times New Roman" w:cs="Times New Roman"/>
          <w:i/>
          <w:sz w:val="26"/>
          <w:szCs w:val="26"/>
        </w:rPr>
        <w:t>Morrison v. Amway Corp.</w:t>
      </w:r>
      <w:r w:rsidRPr="006E7A92">
        <w:rPr>
          <w:rFonts w:ascii="Times New Roman" w:eastAsia="Arial" w:hAnsi="Times New Roman" w:cs="Times New Roman"/>
          <w:sz w:val="26"/>
          <w:szCs w:val="26"/>
        </w:rPr>
        <w:t>, 323 F.3d 920, 930 (</w:t>
      </w:r>
      <w:r>
        <w:rPr>
          <w:rFonts w:ascii="Times New Roman" w:eastAsia="Arial" w:hAnsi="Times New Roman" w:cs="Times New Roman"/>
          <w:sz w:val="26"/>
          <w:szCs w:val="26"/>
        </w:rPr>
        <w:t>11</w:t>
      </w:r>
      <w:r w:rsidRPr="006E7A9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6E7A92">
        <w:rPr>
          <w:rFonts w:ascii="Times New Roman" w:eastAsia="Arial" w:hAnsi="Times New Roman" w:cs="Times New Roman"/>
          <w:sz w:val="26"/>
          <w:szCs w:val="26"/>
        </w:rPr>
        <w:t>Cir. 2003), the court held that eligible employee status under the Family Medical Leave Act is not solely a jurisdictional issue. Rather, eligible employee status is to be decided by a jury or under Federal Rule of Civil Procedure 12</w:t>
      </w:r>
      <w:r w:rsidR="009C21F2">
        <w:rPr>
          <w:rFonts w:ascii="Times New Roman" w:eastAsia="Arial" w:hAnsi="Times New Roman" w:cs="Times New Roman"/>
          <w:sz w:val="26"/>
          <w:szCs w:val="26"/>
        </w:rPr>
        <w:fldChar w:fldCharType="begin"/>
      </w:r>
      <w:r w:rsidR="009C21F2">
        <w:rPr>
          <w:rFonts w:ascii="Times New Roman" w:eastAsia="Arial" w:hAnsi="Times New Roman" w:cs="Times New Roman"/>
          <w:sz w:val="26"/>
          <w:szCs w:val="26"/>
        </w:rPr>
        <w:instrText xml:space="preserve"> LISTNUM  NumberDefault \l 5 \s 2 </w:instrText>
      </w:r>
      <w:r w:rsidR="009C21F2">
        <w:rPr>
          <w:rFonts w:ascii="Times New Roman" w:eastAsia="Arial" w:hAnsi="Times New Roman" w:cs="Times New Roman"/>
          <w:sz w:val="26"/>
          <w:szCs w:val="26"/>
        </w:rPr>
        <w:fldChar w:fldCharType="end"/>
      </w:r>
      <w:r w:rsidR="009C21F2">
        <w:rPr>
          <w:rFonts w:ascii="Times New Roman" w:eastAsia="Arial" w:hAnsi="Times New Roman" w:cs="Times New Roman"/>
          <w:sz w:val="26"/>
          <w:szCs w:val="26"/>
        </w:rPr>
        <w:fldChar w:fldCharType="begin"/>
      </w:r>
      <w:r w:rsidR="009C21F2">
        <w:rPr>
          <w:rFonts w:ascii="Times New Roman" w:eastAsia="Arial" w:hAnsi="Times New Roman" w:cs="Times New Roman"/>
          <w:sz w:val="26"/>
          <w:szCs w:val="26"/>
        </w:rPr>
        <w:instrText xml:space="preserve"> LISTNUM  NumberDefault \l 4 \s 6 </w:instrText>
      </w:r>
      <w:r w:rsidR="009C21F2">
        <w:rPr>
          <w:rFonts w:ascii="Times New Roman" w:eastAsia="Arial" w:hAnsi="Times New Roman" w:cs="Times New Roman"/>
          <w:sz w:val="26"/>
          <w:szCs w:val="26"/>
        </w:rPr>
        <w:fldChar w:fldCharType="end"/>
      </w:r>
      <w:r w:rsidRPr="006E7A92">
        <w:rPr>
          <w:rFonts w:ascii="Times New Roman" w:eastAsia="Arial" w:hAnsi="Times New Roman" w:cs="Times New Roman"/>
          <w:sz w:val="26"/>
          <w:szCs w:val="26"/>
        </w:rPr>
        <w:t xml:space="preserve"> or Federal Rule of Civil Procedure 56. </w:t>
      </w:r>
      <w:r w:rsidRPr="006E7A92">
        <w:rPr>
          <w:rFonts w:ascii="Times New Roman" w:eastAsia="Arial" w:hAnsi="Times New Roman" w:cs="Times New Roman"/>
          <w:i/>
          <w:sz w:val="26"/>
          <w:szCs w:val="26"/>
        </w:rPr>
        <w:t>Morrison</w:t>
      </w:r>
      <w:r w:rsidRPr="006E7A92">
        <w:rPr>
          <w:rFonts w:ascii="Times New Roman" w:eastAsia="Arial" w:hAnsi="Times New Roman" w:cs="Times New Roman"/>
          <w:sz w:val="26"/>
          <w:szCs w:val="26"/>
        </w:rPr>
        <w:t>, 323 F.3d at 930.</w:t>
      </w:r>
      <w:bookmarkStart w:id="0" w:name="_GoBack"/>
      <w:bookmarkEnd w:id="0"/>
    </w:p>
    <w:sectPr w:rsidR="00725167" w:rsidRPr="00F9797A" w:rsidSect="000C5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CD" w:rsidRDefault="009F7ECD" w:rsidP="009F7ECD">
      <w:pPr>
        <w:spacing w:after="0" w:line="240" w:lineRule="auto"/>
      </w:pPr>
      <w:r>
        <w:separator/>
      </w:r>
    </w:p>
  </w:endnote>
  <w:endnote w:type="continuationSeparator" w:id="0">
    <w:p w:rsidR="009F7ECD" w:rsidRDefault="009F7ECD" w:rsidP="009F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CD" w:rsidRDefault="009F7ECD" w:rsidP="009F7ECD">
      <w:pPr>
        <w:spacing w:after="0" w:line="240" w:lineRule="auto"/>
      </w:pPr>
      <w:r>
        <w:separator/>
      </w:r>
    </w:p>
  </w:footnote>
  <w:footnote w:type="continuationSeparator" w:id="0">
    <w:p w:rsidR="009F7ECD" w:rsidRDefault="009F7ECD" w:rsidP="009F7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C52BC"/>
    <w:rsid w:val="001E02CA"/>
    <w:rsid w:val="002B67EE"/>
    <w:rsid w:val="00427B27"/>
    <w:rsid w:val="00725167"/>
    <w:rsid w:val="00742D4C"/>
    <w:rsid w:val="0076151A"/>
    <w:rsid w:val="007D42A6"/>
    <w:rsid w:val="0081575C"/>
    <w:rsid w:val="0089546D"/>
    <w:rsid w:val="008B5673"/>
    <w:rsid w:val="00927349"/>
    <w:rsid w:val="009C21F2"/>
    <w:rsid w:val="009F7ECD"/>
    <w:rsid w:val="00A45395"/>
    <w:rsid w:val="00BA403B"/>
    <w:rsid w:val="00C473BC"/>
    <w:rsid w:val="00DC18AE"/>
    <w:rsid w:val="00E33549"/>
    <w:rsid w:val="00E7659F"/>
    <w:rsid w:val="00F9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F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CD"/>
  </w:style>
  <w:style w:type="paragraph" w:styleId="Footer">
    <w:name w:val="footer"/>
    <w:basedOn w:val="Normal"/>
    <w:link w:val="FooterChar"/>
    <w:uiPriority w:val="99"/>
    <w:unhideWhenUsed/>
    <w:rsid w:val="009F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F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CD"/>
  </w:style>
  <w:style w:type="paragraph" w:styleId="Footer">
    <w:name w:val="footer"/>
    <w:basedOn w:val="Normal"/>
    <w:link w:val="FooterChar"/>
    <w:uiPriority w:val="99"/>
    <w:unhideWhenUsed/>
    <w:rsid w:val="009F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2014-06-09T16:32:00Z</dcterms:created>
  <dcterms:modified xsi:type="dcterms:W3CDTF">2014-06-19T17:29:00Z</dcterms:modified>
</cp:coreProperties>
</file>