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4E" w:rsidRDefault="0020274E" w:rsidP="00D908FF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u w:val="single"/>
        </w:rPr>
        <w:t>ANNOTATIONS AND COMMENTS</w:t>
      </w:r>
    </w:p>
    <w:p w:rsidR="00725167" w:rsidRPr="0020274E" w:rsidRDefault="0020274E" w:rsidP="00D908FF">
      <w:pPr>
        <w:spacing w:after="240" w:line="240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To prove that a defendant shareholder is the alter ego of a corporation, it must be shown that the shareholder disregarded the corporate entity and made it a mere instrumentality for the conducting of his own affairs and that such control was used to commit fraud or perpetrate the violation of a statutory or other legal duty. </w:t>
      </w:r>
      <w:r>
        <w:rPr>
          <w:rFonts w:ascii="Times New Roman" w:eastAsia="Arial" w:hAnsi="Times New Roman" w:cs="Times New Roman"/>
          <w:i/>
          <w:sz w:val="26"/>
          <w:szCs w:val="26"/>
        </w:rPr>
        <w:t>United Steelworkers of Am. v. Connors Steel Co.</w:t>
      </w:r>
      <w:r>
        <w:rPr>
          <w:rFonts w:ascii="Times New Roman" w:eastAsia="Arial" w:hAnsi="Times New Roman" w:cs="Times New Roman"/>
          <w:sz w:val="26"/>
          <w:szCs w:val="26"/>
        </w:rPr>
        <w:t>, 855 F.2d 1499, 1506-07 (11</w:t>
      </w:r>
      <w:r w:rsidRPr="00472E7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Cir. 1988). These requirements are typical under state law as well. </w:t>
      </w:r>
      <w:r>
        <w:rPr>
          <w:rFonts w:ascii="Times New Roman" w:eastAsia="Arial" w:hAnsi="Times New Roman" w:cs="Times New Roman"/>
          <w:i/>
          <w:sz w:val="26"/>
          <w:szCs w:val="26"/>
        </w:rPr>
        <w:t>See, e.g., Ex parte Thorn</w:t>
      </w:r>
      <w:r>
        <w:rPr>
          <w:rFonts w:ascii="Times New Roman" w:eastAsia="Arial" w:hAnsi="Times New Roman" w:cs="Times New Roman"/>
          <w:sz w:val="26"/>
          <w:szCs w:val="26"/>
        </w:rPr>
        <w:t xml:space="preserve">, 788 So. 2d 140 (Ala. 2000); </w:t>
      </w:r>
      <w:r>
        <w:rPr>
          <w:rFonts w:ascii="Times New Roman" w:eastAsia="Arial" w:hAnsi="Times New Roman" w:cs="Times New Roman"/>
          <w:i/>
          <w:sz w:val="26"/>
          <w:szCs w:val="26"/>
        </w:rPr>
        <w:t>U.S. v. Fidelity Capital Corp.</w:t>
      </w:r>
      <w:r>
        <w:rPr>
          <w:rFonts w:ascii="Times New Roman" w:eastAsia="Arial" w:hAnsi="Times New Roman" w:cs="Times New Roman"/>
          <w:sz w:val="26"/>
          <w:szCs w:val="26"/>
        </w:rPr>
        <w:t>, 920 F.2d 827 (11</w:t>
      </w:r>
      <w:r w:rsidRPr="00472E7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Cir. 1991) (applying Georgia law); </w:t>
      </w:r>
      <w:r>
        <w:rPr>
          <w:rFonts w:ascii="Times New Roman" w:eastAsia="Arial" w:hAnsi="Times New Roman" w:cs="Times New Roman"/>
          <w:i/>
          <w:sz w:val="26"/>
          <w:szCs w:val="26"/>
        </w:rPr>
        <w:t>Gasparini v. Pordomingo</w:t>
      </w:r>
      <w:r>
        <w:rPr>
          <w:rFonts w:ascii="Times New Roman" w:eastAsia="Arial" w:hAnsi="Times New Roman" w:cs="Times New Roman"/>
          <w:sz w:val="26"/>
          <w:szCs w:val="26"/>
        </w:rPr>
        <w:t>, 972 So. 2d 1053, 1055 (Fla. 2008) (per curiam).</w:t>
      </w:r>
      <w:bookmarkStart w:id="0" w:name="_GoBack"/>
      <w:bookmarkEnd w:id="0"/>
    </w:p>
    <w:sectPr w:rsidR="00725167" w:rsidRPr="0020274E" w:rsidSect="004E6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39" w:rsidRDefault="00103A39" w:rsidP="00103A39">
      <w:pPr>
        <w:spacing w:after="0" w:line="240" w:lineRule="auto"/>
      </w:pPr>
      <w:r>
        <w:separator/>
      </w:r>
    </w:p>
  </w:endnote>
  <w:endnote w:type="continuationSeparator" w:id="0">
    <w:p w:rsidR="00103A39" w:rsidRDefault="00103A39" w:rsidP="00103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39" w:rsidRDefault="00103A39" w:rsidP="00103A39">
      <w:pPr>
        <w:spacing w:after="0" w:line="240" w:lineRule="auto"/>
      </w:pPr>
      <w:r>
        <w:separator/>
      </w:r>
    </w:p>
  </w:footnote>
  <w:footnote w:type="continuationSeparator" w:id="0">
    <w:p w:rsidR="00103A39" w:rsidRDefault="00103A39" w:rsidP="00103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E63"/>
    <w:rsid w:val="00014B03"/>
    <w:rsid w:val="000427AF"/>
    <w:rsid w:val="000A1DB0"/>
    <w:rsid w:val="000B630A"/>
    <w:rsid w:val="000E2A2F"/>
    <w:rsid w:val="0010133C"/>
    <w:rsid w:val="00103A39"/>
    <w:rsid w:val="001259E6"/>
    <w:rsid w:val="001B2E1D"/>
    <w:rsid w:val="0020274E"/>
    <w:rsid w:val="00251CEE"/>
    <w:rsid w:val="00254AC9"/>
    <w:rsid w:val="002B4F30"/>
    <w:rsid w:val="00311AF4"/>
    <w:rsid w:val="0036555D"/>
    <w:rsid w:val="0037222E"/>
    <w:rsid w:val="00377E94"/>
    <w:rsid w:val="00433802"/>
    <w:rsid w:val="00441E63"/>
    <w:rsid w:val="00442B35"/>
    <w:rsid w:val="00466BD3"/>
    <w:rsid w:val="004B2337"/>
    <w:rsid w:val="004E6CCF"/>
    <w:rsid w:val="00570E3C"/>
    <w:rsid w:val="00577976"/>
    <w:rsid w:val="005864C9"/>
    <w:rsid w:val="005A1C33"/>
    <w:rsid w:val="005A79FA"/>
    <w:rsid w:val="005D54AE"/>
    <w:rsid w:val="006F7D0E"/>
    <w:rsid w:val="00725167"/>
    <w:rsid w:val="00770F0A"/>
    <w:rsid w:val="0081575C"/>
    <w:rsid w:val="00834C92"/>
    <w:rsid w:val="008763ED"/>
    <w:rsid w:val="00947DFB"/>
    <w:rsid w:val="009D7D0B"/>
    <w:rsid w:val="00A0627E"/>
    <w:rsid w:val="00A33B62"/>
    <w:rsid w:val="00A36A17"/>
    <w:rsid w:val="00A63B3A"/>
    <w:rsid w:val="00A66EC8"/>
    <w:rsid w:val="00B129D9"/>
    <w:rsid w:val="00B30073"/>
    <w:rsid w:val="00BB5464"/>
    <w:rsid w:val="00C265BC"/>
    <w:rsid w:val="00C61B2E"/>
    <w:rsid w:val="00CA5FD3"/>
    <w:rsid w:val="00CB5C28"/>
    <w:rsid w:val="00D00EFE"/>
    <w:rsid w:val="00D31BDF"/>
    <w:rsid w:val="00D908FF"/>
    <w:rsid w:val="00DB540E"/>
    <w:rsid w:val="00DC18AE"/>
    <w:rsid w:val="00DC7A5D"/>
    <w:rsid w:val="00DF7655"/>
    <w:rsid w:val="00E235C8"/>
    <w:rsid w:val="00E25B2E"/>
    <w:rsid w:val="00E263A0"/>
    <w:rsid w:val="00E64928"/>
    <w:rsid w:val="00EA447E"/>
    <w:rsid w:val="00EB49C0"/>
    <w:rsid w:val="00EB654A"/>
    <w:rsid w:val="00EE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E6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1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A39"/>
  </w:style>
  <w:style w:type="paragraph" w:styleId="Footer">
    <w:name w:val="footer"/>
    <w:basedOn w:val="Normal"/>
    <w:link w:val="FooterChar"/>
    <w:uiPriority w:val="99"/>
    <w:unhideWhenUsed/>
    <w:rsid w:val="001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E6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1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A39"/>
  </w:style>
  <w:style w:type="paragraph" w:styleId="Footer">
    <w:name w:val="footer"/>
    <w:basedOn w:val="Normal"/>
    <w:link w:val="FooterChar"/>
    <w:uiPriority w:val="99"/>
    <w:unhideWhenUsed/>
    <w:rsid w:val="001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2014-06-09T16:34:00Z</dcterms:created>
  <dcterms:modified xsi:type="dcterms:W3CDTF">2014-06-19T17:24:00Z</dcterms:modified>
</cp:coreProperties>
</file>