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D" w:rsidRDefault="00F47F8D" w:rsidP="002D28E8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F47F8D" w:rsidRDefault="00F47F8D" w:rsidP="002D28E8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To prove that a subsidiary should be treated as the alter ego of its parent corporation, it must be shown that the corporation so controls the operation of the subsidiary as to make it a mere instrumentality of the corporation and that such control is used for the purpose of committing fraud or perpetrating the violation of a statutory or other legal duty. </w:t>
      </w:r>
      <w:r>
        <w:rPr>
          <w:rFonts w:ascii="Times New Roman" w:eastAsia="Arial" w:hAnsi="Times New Roman" w:cs="Times New Roman"/>
          <w:i/>
          <w:sz w:val="26"/>
          <w:szCs w:val="26"/>
        </w:rPr>
        <w:t>United Steelworkers of Am. v. Connors Steel Co.</w:t>
      </w:r>
      <w:r>
        <w:rPr>
          <w:rFonts w:ascii="Times New Roman" w:eastAsia="Arial" w:hAnsi="Times New Roman" w:cs="Times New Roman"/>
          <w:sz w:val="26"/>
          <w:szCs w:val="26"/>
        </w:rPr>
        <w:t>, 855 F.2d 1499, 1505-06 (11</w:t>
      </w:r>
      <w:r w:rsidRPr="00472E7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Cir. 1988) (federal common law); </w:t>
      </w:r>
      <w:r>
        <w:rPr>
          <w:rFonts w:ascii="Times New Roman" w:eastAsia="Arial" w:hAnsi="Times New Roman" w:cs="Times New Roman"/>
          <w:i/>
          <w:sz w:val="26"/>
          <w:szCs w:val="26"/>
        </w:rPr>
        <w:t>United States v. Jon-T Chems., Inc.</w:t>
      </w:r>
      <w:r>
        <w:rPr>
          <w:rFonts w:ascii="Times New Roman" w:eastAsia="Arial" w:hAnsi="Times New Roman" w:cs="Times New Roman"/>
          <w:sz w:val="26"/>
          <w:szCs w:val="26"/>
        </w:rPr>
        <w:t>, 768 F.2d 686, 691 (5</w:t>
      </w:r>
      <w:r w:rsidRPr="00472E7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Cir. 1985).</w:t>
      </w:r>
    </w:p>
    <w:p w:rsidR="00725167" w:rsidRPr="00F47F8D" w:rsidRDefault="00F47F8D" w:rsidP="002D28E8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The Eleventh Circuit has stated that, in order for a court to pierce the corporate veil, “a plaintiff must show 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4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>
        <w:rPr>
          <w:rFonts w:ascii="Times New Roman" w:eastAsia="Arial" w:hAnsi="Times New Roman" w:cs="Times New Roman"/>
          <w:sz w:val="26"/>
          <w:szCs w:val="26"/>
        </w:rPr>
        <w:t xml:space="preserve"> that the subsidiary is a mere instrumentality of the parent and 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4 \s 2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>
        <w:rPr>
          <w:rFonts w:ascii="Times New Roman" w:eastAsia="Arial" w:hAnsi="Times New Roman" w:cs="Times New Roman"/>
          <w:sz w:val="26"/>
          <w:szCs w:val="26"/>
        </w:rPr>
        <w:t xml:space="preserve"> improper conduct.” </w:t>
      </w:r>
      <w:r>
        <w:rPr>
          <w:rFonts w:ascii="Times New Roman" w:eastAsia="Arial" w:hAnsi="Times New Roman" w:cs="Times New Roman"/>
          <w:i/>
          <w:sz w:val="26"/>
          <w:szCs w:val="26"/>
        </w:rPr>
        <w:t>Johnson Enters. of Jacksonville, Inc. v. FPL Group, Inc.</w:t>
      </w:r>
      <w:r>
        <w:rPr>
          <w:rFonts w:ascii="Times New Roman" w:eastAsia="Arial" w:hAnsi="Times New Roman" w:cs="Times New Roman"/>
          <w:sz w:val="26"/>
          <w:szCs w:val="26"/>
        </w:rPr>
        <w:t>, 162 F.3d 1290, 1320 (11</w:t>
      </w:r>
      <w:r w:rsidRPr="00472E7C">
        <w:rPr>
          <w:rFonts w:ascii="Times New Roman" w:eastAsia="Arial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sz w:val="26"/>
          <w:szCs w:val="26"/>
        </w:rPr>
        <w:t xml:space="preserve"> Cir. 1998) (applying Florida law).</w:t>
      </w:r>
      <w:bookmarkStart w:id="0" w:name="_GoBack"/>
      <w:bookmarkEnd w:id="0"/>
    </w:p>
    <w:sectPr w:rsidR="00725167" w:rsidRPr="00F47F8D" w:rsidSect="0017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04" w:rsidRDefault="00653C04" w:rsidP="00653C04">
      <w:pPr>
        <w:spacing w:after="0" w:line="240" w:lineRule="auto"/>
      </w:pPr>
      <w:r>
        <w:separator/>
      </w:r>
    </w:p>
  </w:endnote>
  <w:endnote w:type="continuationSeparator" w:id="0">
    <w:p w:rsidR="00653C04" w:rsidRDefault="00653C04" w:rsidP="0065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04" w:rsidRDefault="00653C04" w:rsidP="00653C04">
      <w:pPr>
        <w:spacing w:after="0" w:line="240" w:lineRule="auto"/>
      </w:pPr>
      <w:r>
        <w:separator/>
      </w:r>
    </w:p>
  </w:footnote>
  <w:footnote w:type="continuationSeparator" w:id="0">
    <w:p w:rsidR="00653C04" w:rsidRDefault="00653C04" w:rsidP="0065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3"/>
    <w:rsid w:val="00014B03"/>
    <w:rsid w:val="000427AF"/>
    <w:rsid w:val="000A1DB0"/>
    <w:rsid w:val="000B630A"/>
    <w:rsid w:val="000E2A2F"/>
    <w:rsid w:val="0010133C"/>
    <w:rsid w:val="001259E6"/>
    <w:rsid w:val="0017177A"/>
    <w:rsid w:val="001B2E1D"/>
    <w:rsid w:val="0020274E"/>
    <w:rsid w:val="00251CEE"/>
    <w:rsid w:val="00254AC9"/>
    <w:rsid w:val="002B4F30"/>
    <w:rsid w:val="002D28E8"/>
    <w:rsid w:val="00311AF4"/>
    <w:rsid w:val="0036555D"/>
    <w:rsid w:val="0037222E"/>
    <w:rsid w:val="00377E94"/>
    <w:rsid w:val="00433802"/>
    <w:rsid w:val="00441E63"/>
    <w:rsid w:val="00442B35"/>
    <w:rsid w:val="00466BD3"/>
    <w:rsid w:val="004B2337"/>
    <w:rsid w:val="00500FFC"/>
    <w:rsid w:val="00570E3C"/>
    <w:rsid w:val="00577976"/>
    <w:rsid w:val="005864C9"/>
    <w:rsid w:val="005A1C33"/>
    <w:rsid w:val="005A79FA"/>
    <w:rsid w:val="005D54AE"/>
    <w:rsid w:val="00653C04"/>
    <w:rsid w:val="006F7D0E"/>
    <w:rsid w:val="00725167"/>
    <w:rsid w:val="00770F0A"/>
    <w:rsid w:val="0081575C"/>
    <w:rsid w:val="00834C92"/>
    <w:rsid w:val="0083569C"/>
    <w:rsid w:val="008763ED"/>
    <w:rsid w:val="00947DFB"/>
    <w:rsid w:val="009D7D0B"/>
    <w:rsid w:val="00A0627E"/>
    <w:rsid w:val="00A33B62"/>
    <w:rsid w:val="00A36A17"/>
    <w:rsid w:val="00A63B3A"/>
    <w:rsid w:val="00A66EC8"/>
    <w:rsid w:val="00B129D9"/>
    <w:rsid w:val="00BB5464"/>
    <w:rsid w:val="00C265BC"/>
    <w:rsid w:val="00C61B2E"/>
    <w:rsid w:val="00CA5FD3"/>
    <w:rsid w:val="00CB5C28"/>
    <w:rsid w:val="00D00EFE"/>
    <w:rsid w:val="00D31BDF"/>
    <w:rsid w:val="00DB540E"/>
    <w:rsid w:val="00DC18AE"/>
    <w:rsid w:val="00DC7A5D"/>
    <w:rsid w:val="00DF7655"/>
    <w:rsid w:val="00E235C8"/>
    <w:rsid w:val="00E25B2E"/>
    <w:rsid w:val="00E263A0"/>
    <w:rsid w:val="00E614DC"/>
    <w:rsid w:val="00E64928"/>
    <w:rsid w:val="00EA447E"/>
    <w:rsid w:val="00EB49C0"/>
    <w:rsid w:val="00EB654A"/>
    <w:rsid w:val="00EE428C"/>
    <w:rsid w:val="00F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5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04"/>
  </w:style>
  <w:style w:type="paragraph" w:styleId="Footer">
    <w:name w:val="footer"/>
    <w:basedOn w:val="Normal"/>
    <w:link w:val="FooterChar"/>
    <w:uiPriority w:val="99"/>
    <w:unhideWhenUsed/>
    <w:rsid w:val="0065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5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04"/>
  </w:style>
  <w:style w:type="paragraph" w:styleId="Footer">
    <w:name w:val="footer"/>
    <w:basedOn w:val="Normal"/>
    <w:link w:val="FooterChar"/>
    <w:uiPriority w:val="99"/>
    <w:unhideWhenUsed/>
    <w:rsid w:val="0065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2014-06-09T16:35:00Z</dcterms:created>
  <dcterms:modified xsi:type="dcterms:W3CDTF">2014-06-19T17:23:00Z</dcterms:modified>
</cp:coreProperties>
</file>