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07" w:rsidRPr="00821907" w:rsidRDefault="00821907" w:rsidP="008E44F5">
      <w:pPr>
        <w:spacing w:after="240" w:line="240" w:lineRule="auto"/>
        <w:jc w:val="both"/>
        <w:rPr>
          <w:rFonts w:ascii="Times New Roman" w:hAnsi="Times New Roman" w:cs="Times New Roman"/>
          <w:b/>
          <w:sz w:val="26"/>
          <w:szCs w:val="26"/>
          <w:u w:val="single"/>
        </w:rPr>
      </w:pPr>
      <w:bookmarkStart w:id="0" w:name="_GoBack"/>
      <w:r w:rsidRPr="00821907">
        <w:rPr>
          <w:rFonts w:ascii="Times New Roman" w:hAnsi="Times New Roman" w:cs="Times New Roman"/>
          <w:b/>
          <w:sz w:val="26"/>
          <w:szCs w:val="26"/>
          <w:u w:val="single"/>
        </w:rPr>
        <w:t>ANNOTATIONS AND COMMENTS</w:t>
      </w:r>
    </w:p>
    <w:p w:rsidR="00821907" w:rsidRPr="00821907" w:rsidRDefault="00821907" w:rsidP="008E44F5">
      <w:pPr>
        <w:spacing w:after="240" w:line="240" w:lineRule="auto"/>
        <w:jc w:val="both"/>
        <w:rPr>
          <w:rFonts w:ascii="Times New Roman" w:hAnsi="Times New Roman" w:cs="Times New Roman"/>
          <w:b/>
          <w:sz w:val="26"/>
          <w:szCs w:val="26"/>
        </w:rPr>
      </w:pPr>
      <w:r w:rsidRPr="00821907">
        <w:rPr>
          <w:rFonts w:ascii="Times New Roman" w:hAnsi="Times New Roman" w:cs="Times New Roman"/>
          <w:b/>
          <w:sz w:val="26"/>
          <w:szCs w:val="26"/>
        </w:rPr>
        <w:fldChar w:fldCharType="begin"/>
      </w:r>
      <w:r w:rsidRPr="00821907">
        <w:rPr>
          <w:rFonts w:ascii="Times New Roman" w:hAnsi="Times New Roman" w:cs="Times New Roman"/>
          <w:b/>
          <w:sz w:val="26"/>
          <w:szCs w:val="26"/>
        </w:rPr>
        <w:instrText xml:space="preserve"> LISTNUM  OutlineDefault \l 1 \s 1 </w:instrText>
      </w:r>
      <w:r w:rsidRPr="00821907">
        <w:rPr>
          <w:rFonts w:ascii="Times New Roman" w:hAnsi="Times New Roman" w:cs="Times New Roman"/>
          <w:b/>
          <w:sz w:val="26"/>
          <w:szCs w:val="26"/>
        </w:rPr>
        <w:fldChar w:fldCharType="end"/>
      </w:r>
      <w:r w:rsidRPr="00821907">
        <w:rPr>
          <w:rFonts w:ascii="Times New Roman" w:hAnsi="Times New Roman" w:cs="Times New Roman"/>
          <w:b/>
          <w:sz w:val="26"/>
          <w:szCs w:val="26"/>
        </w:rPr>
        <w:t xml:space="preserve"> Cause of Action</w:t>
      </w:r>
    </w:p>
    <w:p w:rsidR="00821907"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Under the Equal Protection Clause of the Fourteenth Amendment, public employees have a constitutional right to be free from sex discrimination and race discrimination in public employment. This right to be free from sex and race discrimination includes the right to be free from a hostile work environment based on race or sex. </w:t>
      </w:r>
      <w:r w:rsidRPr="00821907">
        <w:rPr>
          <w:rFonts w:ascii="Times New Roman" w:hAnsi="Times New Roman" w:cs="Times New Roman"/>
          <w:i/>
          <w:sz w:val="26"/>
          <w:szCs w:val="26"/>
        </w:rPr>
        <w:t>See, e.g., Bryant v. Jones</w:t>
      </w:r>
      <w:r w:rsidRPr="00821907">
        <w:rPr>
          <w:rFonts w:ascii="Times New Roman" w:hAnsi="Times New Roman" w:cs="Times New Roman"/>
          <w:sz w:val="26"/>
          <w:szCs w:val="26"/>
        </w:rPr>
        <w:t>, 575 F.3d 1281, 1296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 xml:space="preserve">Cir. 2009) (discussing equal protection racial harassment claims); </w:t>
      </w:r>
      <w:r w:rsidRPr="00821907">
        <w:rPr>
          <w:rFonts w:ascii="Times New Roman" w:hAnsi="Times New Roman" w:cs="Times New Roman"/>
          <w:i/>
          <w:sz w:val="26"/>
          <w:szCs w:val="26"/>
        </w:rPr>
        <w:t>Cross v. Alabama</w:t>
      </w:r>
      <w:r w:rsidRPr="00821907">
        <w:rPr>
          <w:rFonts w:ascii="Times New Roman" w:hAnsi="Times New Roman" w:cs="Times New Roman"/>
          <w:sz w:val="26"/>
          <w:szCs w:val="26"/>
        </w:rPr>
        <w:t>, 49 F.3d 1490, 1507-08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Cir. 1995) (discussing equal protection sexual harassment claims).</w:t>
      </w:r>
    </w:p>
    <w:p w:rsidR="00821907"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This pattern instruction focuses on Equal Protection claims based on a hostile work environment. For other types of Equal Protection claims, such as discriminatory discharge based on race or gender, this instruction may be adapted to include the elements and explanations from Pattern Instruction 4.5, </w:t>
      </w:r>
      <w:r w:rsidRPr="00821907">
        <w:rPr>
          <w:rFonts w:ascii="Times New Roman" w:hAnsi="Times New Roman" w:cs="Times New Roman"/>
          <w:i/>
          <w:sz w:val="26"/>
          <w:szCs w:val="26"/>
        </w:rPr>
        <w:t>infra</w:t>
      </w:r>
      <w:r w:rsidRPr="00821907">
        <w:rPr>
          <w:rFonts w:ascii="Times New Roman" w:hAnsi="Times New Roman" w:cs="Times New Roman"/>
          <w:sz w:val="26"/>
          <w:szCs w:val="26"/>
        </w:rPr>
        <w:t xml:space="preserve"> (Title VII discrimination).</w:t>
      </w:r>
    </w:p>
    <w:p w:rsidR="00821907" w:rsidRPr="00821907" w:rsidRDefault="00821907" w:rsidP="008E44F5">
      <w:pPr>
        <w:spacing w:after="240" w:line="240" w:lineRule="auto"/>
        <w:jc w:val="both"/>
        <w:rPr>
          <w:rFonts w:ascii="Times New Roman" w:hAnsi="Times New Roman" w:cs="Times New Roman"/>
          <w:b/>
          <w:sz w:val="26"/>
          <w:szCs w:val="26"/>
        </w:rPr>
      </w:pPr>
      <w:r w:rsidRPr="00821907">
        <w:rPr>
          <w:rFonts w:ascii="Times New Roman" w:hAnsi="Times New Roman" w:cs="Times New Roman"/>
          <w:b/>
          <w:sz w:val="26"/>
          <w:szCs w:val="26"/>
        </w:rPr>
        <w:fldChar w:fldCharType="begin"/>
      </w:r>
      <w:r w:rsidRPr="00821907">
        <w:rPr>
          <w:rFonts w:ascii="Times New Roman" w:hAnsi="Times New Roman" w:cs="Times New Roman"/>
          <w:b/>
          <w:sz w:val="26"/>
          <w:szCs w:val="26"/>
        </w:rPr>
        <w:instrText xml:space="preserve"> LISTNUM  OutlineDefault \l 1 \s 2 </w:instrText>
      </w:r>
      <w:r w:rsidRPr="00821907">
        <w:rPr>
          <w:rFonts w:ascii="Times New Roman" w:hAnsi="Times New Roman" w:cs="Times New Roman"/>
          <w:b/>
          <w:sz w:val="26"/>
          <w:szCs w:val="26"/>
        </w:rPr>
        <w:fldChar w:fldCharType="end"/>
      </w:r>
      <w:r w:rsidRPr="00821907">
        <w:rPr>
          <w:rFonts w:ascii="Times New Roman" w:hAnsi="Times New Roman" w:cs="Times New Roman"/>
          <w:b/>
          <w:sz w:val="26"/>
          <w:szCs w:val="26"/>
        </w:rPr>
        <w:t xml:space="preserve"> Elements</w:t>
      </w:r>
    </w:p>
    <w:p w:rsidR="00821907"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The definition of a hostile work environment is adapted from </w:t>
      </w:r>
      <w:r w:rsidRPr="00821907">
        <w:rPr>
          <w:rFonts w:ascii="Times New Roman" w:hAnsi="Times New Roman" w:cs="Times New Roman"/>
          <w:i/>
          <w:sz w:val="26"/>
          <w:szCs w:val="26"/>
        </w:rPr>
        <w:t>Harris v. Forklift Systems, Inc.</w:t>
      </w:r>
      <w:r w:rsidRPr="00821907">
        <w:rPr>
          <w:rFonts w:ascii="Times New Roman" w:hAnsi="Times New Roman" w:cs="Times New Roman"/>
          <w:sz w:val="26"/>
          <w:szCs w:val="26"/>
        </w:rPr>
        <w:t xml:space="preserve">, 510 U.S. 17, 21-23 (1993). </w:t>
      </w:r>
      <w:proofErr w:type="gramStart"/>
      <w:r w:rsidRPr="00821907">
        <w:rPr>
          <w:rFonts w:ascii="Times New Roman" w:hAnsi="Times New Roman" w:cs="Times New Roman"/>
          <w:i/>
          <w:sz w:val="26"/>
          <w:szCs w:val="26"/>
        </w:rPr>
        <w:t>Reeves v. C.H. Robinson Worldwide, Inc.</w:t>
      </w:r>
      <w:r w:rsidRPr="00821907">
        <w:rPr>
          <w:rFonts w:ascii="Times New Roman" w:hAnsi="Times New Roman" w:cs="Times New Roman"/>
          <w:sz w:val="26"/>
          <w:szCs w:val="26"/>
        </w:rPr>
        <w:t>, 594 F.3d 798, 808-09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 xml:space="preserve">Cir. 2010) (en banc); </w:t>
      </w:r>
      <w:r w:rsidRPr="00821907">
        <w:rPr>
          <w:rFonts w:ascii="Times New Roman" w:hAnsi="Times New Roman" w:cs="Times New Roman"/>
          <w:i/>
          <w:sz w:val="26"/>
          <w:szCs w:val="26"/>
        </w:rPr>
        <w:t>Mendoza v. Borden, Inc.</w:t>
      </w:r>
      <w:r w:rsidRPr="00821907">
        <w:rPr>
          <w:rFonts w:ascii="Times New Roman" w:hAnsi="Times New Roman" w:cs="Times New Roman"/>
          <w:sz w:val="26"/>
          <w:szCs w:val="26"/>
        </w:rPr>
        <w:t>, 195 F.3d 1238, 1245-46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Cir. 1999) (en banc).</w:t>
      </w:r>
      <w:proofErr w:type="gramEnd"/>
      <w:r w:rsidRPr="00821907">
        <w:rPr>
          <w:rFonts w:ascii="Times New Roman" w:hAnsi="Times New Roman" w:cs="Times New Roman"/>
          <w:sz w:val="26"/>
          <w:szCs w:val="26"/>
        </w:rPr>
        <w:t xml:space="preserve"> The language defining “hostile work environment” is the same as the language in Pattern Instruction 4.6, </w:t>
      </w:r>
      <w:r w:rsidRPr="00821907">
        <w:rPr>
          <w:rFonts w:ascii="Times New Roman" w:hAnsi="Times New Roman" w:cs="Times New Roman"/>
          <w:i/>
          <w:sz w:val="26"/>
          <w:szCs w:val="26"/>
        </w:rPr>
        <w:t>infra</w:t>
      </w:r>
      <w:r w:rsidRPr="00821907">
        <w:rPr>
          <w:rFonts w:ascii="Times New Roman" w:hAnsi="Times New Roman" w:cs="Times New Roman"/>
          <w:sz w:val="26"/>
          <w:szCs w:val="26"/>
        </w:rPr>
        <w:t xml:space="preserve"> (Title VII Hostile Work Environment) because the elements of an Equal Protection hostile work environment claim are the same as hostile work environment claims brought under Title VII of the Civil Rights Act of 1964 and 42 U.S.C. § 1981. </w:t>
      </w:r>
      <w:r w:rsidRPr="00821907">
        <w:rPr>
          <w:rFonts w:ascii="Times New Roman" w:hAnsi="Times New Roman" w:cs="Times New Roman"/>
          <w:i/>
          <w:sz w:val="26"/>
          <w:szCs w:val="26"/>
        </w:rPr>
        <w:t>Bryant v. Jones</w:t>
      </w:r>
      <w:r w:rsidRPr="00821907">
        <w:rPr>
          <w:rFonts w:ascii="Times New Roman" w:hAnsi="Times New Roman" w:cs="Times New Roman"/>
          <w:sz w:val="26"/>
          <w:szCs w:val="26"/>
        </w:rPr>
        <w:t>, 575 F.3d 1281, 1296 n.20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 xml:space="preserve">Cir. 2009). To prevail on an Equal Protection claim, which is brought pursuant to 42 U.S.C. § 1983, the plaintiff must also show that the defendant’s actions were under color of state law. </w:t>
      </w:r>
      <w:proofErr w:type="gramStart"/>
      <w:r w:rsidRPr="00821907">
        <w:rPr>
          <w:rFonts w:ascii="Times New Roman" w:hAnsi="Times New Roman" w:cs="Times New Roman"/>
          <w:i/>
          <w:sz w:val="26"/>
          <w:szCs w:val="26"/>
        </w:rPr>
        <w:t>Watkins v. Bowden</w:t>
      </w:r>
      <w:r w:rsidRPr="00821907">
        <w:rPr>
          <w:rFonts w:ascii="Times New Roman" w:hAnsi="Times New Roman" w:cs="Times New Roman"/>
          <w:sz w:val="26"/>
          <w:szCs w:val="26"/>
        </w:rPr>
        <w:t>, 105 F.3d 1344, 1354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 xml:space="preserve">Cir. 1997) (per </w:t>
      </w:r>
      <w:proofErr w:type="spellStart"/>
      <w:r w:rsidRPr="00821907">
        <w:rPr>
          <w:rFonts w:ascii="Times New Roman" w:hAnsi="Times New Roman" w:cs="Times New Roman"/>
          <w:sz w:val="26"/>
          <w:szCs w:val="26"/>
        </w:rPr>
        <w:t>curiam</w:t>
      </w:r>
      <w:proofErr w:type="spellEnd"/>
      <w:r w:rsidRPr="00821907">
        <w:rPr>
          <w:rFonts w:ascii="Times New Roman" w:hAnsi="Times New Roman" w:cs="Times New Roman"/>
          <w:sz w:val="26"/>
          <w:szCs w:val="26"/>
        </w:rPr>
        <w:t>).</w:t>
      </w:r>
      <w:proofErr w:type="gramEnd"/>
    </w:p>
    <w:p w:rsidR="00821907" w:rsidRPr="00821907" w:rsidRDefault="00821907" w:rsidP="008E44F5">
      <w:pPr>
        <w:spacing w:after="240" w:line="240" w:lineRule="auto"/>
        <w:jc w:val="both"/>
        <w:rPr>
          <w:rFonts w:ascii="Times New Roman" w:hAnsi="Times New Roman" w:cs="Times New Roman"/>
          <w:b/>
          <w:sz w:val="26"/>
          <w:szCs w:val="26"/>
        </w:rPr>
      </w:pPr>
      <w:r w:rsidRPr="00821907">
        <w:rPr>
          <w:rFonts w:ascii="Times New Roman" w:hAnsi="Times New Roman" w:cs="Times New Roman"/>
          <w:b/>
          <w:sz w:val="26"/>
          <w:szCs w:val="26"/>
        </w:rPr>
        <w:fldChar w:fldCharType="begin"/>
      </w:r>
      <w:r w:rsidRPr="00821907">
        <w:rPr>
          <w:rFonts w:ascii="Times New Roman" w:hAnsi="Times New Roman" w:cs="Times New Roman"/>
          <w:b/>
          <w:sz w:val="26"/>
          <w:szCs w:val="26"/>
        </w:rPr>
        <w:instrText xml:space="preserve"> LISTNUM  OutlineDefault \l 1 \s 3 </w:instrText>
      </w:r>
      <w:r w:rsidRPr="00821907">
        <w:rPr>
          <w:rFonts w:ascii="Times New Roman" w:hAnsi="Times New Roman" w:cs="Times New Roman"/>
          <w:b/>
          <w:sz w:val="26"/>
          <w:szCs w:val="26"/>
        </w:rPr>
        <w:fldChar w:fldCharType="end"/>
      </w:r>
      <w:r w:rsidRPr="00821907">
        <w:rPr>
          <w:rFonts w:ascii="Times New Roman" w:hAnsi="Times New Roman" w:cs="Times New Roman"/>
          <w:b/>
          <w:sz w:val="26"/>
          <w:szCs w:val="26"/>
        </w:rPr>
        <w:t xml:space="preserve"> Special Liability Questions</w:t>
      </w:r>
    </w:p>
    <w:p w:rsidR="00821907" w:rsidRPr="00821907" w:rsidRDefault="00821907" w:rsidP="008E44F5">
      <w:pPr>
        <w:spacing w:after="240" w:line="240" w:lineRule="auto"/>
        <w:ind w:firstLine="720"/>
        <w:jc w:val="both"/>
        <w:rPr>
          <w:rFonts w:ascii="Times New Roman" w:hAnsi="Times New Roman" w:cs="Times New Roman"/>
          <w:sz w:val="26"/>
          <w:szCs w:val="26"/>
        </w:rPr>
      </w:pPr>
      <w:proofErr w:type="gramStart"/>
      <w:r w:rsidRPr="00821907">
        <w:rPr>
          <w:rFonts w:ascii="Times New Roman" w:hAnsi="Times New Roman" w:cs="Times New Roman"/>
          <w:sz w:val="26"/>
          <w:szCs w:val="26"/>
          <w:u w:val="single"/>
        </w:rPr>
        <w:t>Supervisor Liability.</w:t>
      </w:r>
      <w:proofErr w:type="gramEnd"/>
      <w:r w:rsidRPr="00821907">
        <w:rPr>
          <w:rFonts w:ascii="Times New Roman" w:hAnsi="Times New Roman" w:cs="Times New Roman"/>
          <w:sz w:val="26"/>
          <w:szCs w:val="26"/>
        </w:rPr>
        <w:t xml:space="preserve"> Liability in § 1983 cases “cannot be premised solely upon a theory of </w:t>
      </w:r>
      <w:proofErr w:type="spellStart"/>
      <w:r w:rsidRPr="00821907">
        <w:rPr>
          <w:rFonts w:ascii="Times New Roman" w:hAnsi="Times New Roman" w:cs="Times New Roman"/>
          <w:i/>
          <w:sz w:val="26"/>
          <w:szCs w:val="26"/>
        </w:rPr>
        <w:t>respondeat</w:t>
      </w:r>
      <w:proofErr w:type="spellEnd"/>
      <w:r w:rsidRPr="00821907">
        <w:rPr>
          <w:rFonts w:ascii="Times New Roman" w:hAnsi="Times New Roman" w:cs="Times New Roman"/>
          <w:i/>
          <w:sz w:val="26"/>
          <w:szCs w:val="26"/>
        </w:rPr>
        <w:t xml:space="preserve"> superior</w:t>
      </w:r>
      <w:r w:rsidRPr="00821907">
        <w:rPr>
          <w:rFonts w:ascii="Times New Roman" w:hAnsi="Times New Roman" w:cs="Times New Roman"/>
          <w:sz w:val="26"/>
          <w:szCs w:val="26"/>
        </w:rPr>
        <w:t xml:space="preserve">.” </w:t>
      </w:r>
      <w:proofErr w:type="gramStart"/>
      <w:r w:rsidRPr="00821907">
        <w:rPr>
          <w:rFonts w:ascii="Times New Roman" w:hAnsi="Times New Roman" w:cs="Times New Roman"/>
          <w:i/>
          <w:sz w:val="26"/>
          <w:szCs w:val="26"/>
        </w:rPr>
        <w:t>Bryant v. Jones</w:t>
      </w:r>
      <w:r w:rsidRPr="00821907">
        <w:rPr>
          <w:rFonts w:ascii="Times New Roman" w:hAnsi="Times New Roman" w:cs="Times New Roman"/>
          <w:sz w:val="26"/>
          <w:szCs w:val="26"/>
        </w:rPr>
        <w:t>, 575 F.3d 1281, 1299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Cir. 2009).</w:t>
      </w:r>
      <w:proofErr w:type="gramEnd"/>
      <w:r w:rsidRPr="00821907">
        <w:rPr>
          <w:rFonts w:ascii="Times New Roman" w:hAnsi="Times New Roman" w:cs="Times New Roman"/>
          <w:sz w:val="26"/>
          <w:szCs w:val="26"/>
        </w:rPr>
        <w:t xml:space="preserve"> A supervisor may be held liable under § 1983 only “when the supervisor personally participates in the alleged constitutional violation or when there is a causal connection between actions of the supervising official and the alleged constitutional deprivation.” </w:t>
      </w:r>
      <w:r w:rsidRPr="00821907">
        <w:rPr>
          <w:rFonts w:ascii="Times New Roman" w:hAnsi="Times New Roman" w:cs="Times New Roman"/>
          <w:i/>
          <w:sz w:val="26"/>
          <w:szCs w:val="26"/>
        </w:rPr>
        <w:t>Id</w:t>
      </w:r>
      <w:r w:rsidRPr="00821907">
        <w:rPr>
          <w:rFonts w:ascii="Times New Roman" w:hAnsi="Times New Roman" w:cs="Times New Roman"/>
          <w:sz w:val="26"/>
          <w:szCs w:val="26"/>
        </w:rPr>
        <w:t xml:space="preserve">. (internal quotation marks omitted). “The causal connection can be established when a history of widespread abuse puts the responsible supervisor on notice of the need to correct the alleged deprivation, and he fails to do so. The deprivations that constitute widespread abuse sufficient to notify the supervising official must be obvious, flagrant, rampant, and of continued duration, rather than isolated occurrences.” </w:t>
      </w:r>
      <w:r w:rsidRPr="00821907">
        <w:rPr>
          <w:rFonts w:ascii="Times New Roman" w:hAnsi="Times New Roman" w:cs="Times New Roman"/>
          <w:i/>
          <w:sz w:val="26"/>
          <w:szCs w:val="26"/>
        </w:rPr>
        <w:t>Id</w:t>
      </w:r>
      <w:r w:rsidRPr="00821907">
        <w:rPr>
          <w:rFonts w:ascii="Times New Roman" w:hAnsi="Times New Roman" w:cs="Times New Roman"/>
          <w:sz w:val="26"/>
          <w:szCs w:val="26"/>
        </w:rPr>
        <w:t xml:space="preserve">. at 1299-1300. Pattern Instruction 4.3 is to be used in cases where the plaintiff alleges that the supervisor personally participated in creating the hostile work environment. Pattern Instruction 4.4 is </w:t>
      </w:r>
      <w:r w:rsidRPr="00821907">
        <w:rPr>
          <w:rFonts w:ascii="Times New Roman" w:hAnsi="Times New Roman" w:cs="Times New Roman"/>
          <w:sz w:val="26"/>
          <w:szCs w:val="26"/>
        </w:rPr>
        <w:lastRenderedPageBreak/>
        <w:t>to be used in cases where the plaintiff alleges that there is a causal connection between the supervisor’s actions and the constitutional deprivation.</w:t>
      </w:r>
    </w:p>
    <w:p w:rsidR="00821907"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Pattern Instruction 4.4 asks whether the individual defendant is a supervisor with the authority to correct the hostile work environment. A “’supervisor’ is not merely a person who possesses authority to oversee plaintiff’s job performance but a person with the power directly to affect the terms and conditions of the plaintiff’s employment.” Bryant, 575 F.3d at 1300; </w:t>
      </w:r>
      <w:r w:rsidRPr="00821907">
        <w:rPr>
          <w:rFonts w:ascii="Times New Roman" w:hAnsi="Times New Roman" w:cs="Times New Roman"/>
          <w:i/>
          <w:sz w:val="26"/>
          <w:szCs w:val="26"/>
        </w:rPr>
        <w:t>see also Vance v. Ball State Univ.</w:t>
      </w:r>
      <w:r w:rsidRPr="00821907">
        <w:rPr>
          <w:rFonts w:ascii="Times New Roman" w:hAnsi="Times New Roman" w:cs="Times New Roman"/>
          <w:sz w:val="26"/>
          <w:szCs w:val="26"/>
        </w:rPr>
        <w:t>, No. 11-556, 2013 WL 3155228 (U.S. June 24, 2013) (holding that “an employee is a ‘supervisor’ for purposes of vicarious liability under Title VII if he or she is empowered by the employer to take tangible employment actions against the victim”).</w:t>
      </w:r>
    </w:p>
    <w:p w:rsidR="00821907" w:rsidRPr="00821907" w:rsidRDefault="00821907" w:rsidP="008E44F5">
      <w:pPr>
        <w:spacing w:after="240" w:line="240" w:lineRule="auto"/>
        <w:ind w:firstLine="720"/>
        <w:jc w:val="both"/>
        <w:rPr>
          <w:rFonts w:ascii="Times New Roman" w:hAnsi="Times New Roman" w:cs="Times New Roman"/>
          <w:sz w:val="26"/>
          <w:szCs w:val="26"/>
        </w:rPr>
      </w:pPr>
      <w:proofErr w:type="gramStart"/>
      <w:r w:rsidRPr="00821907">
        <w:rPr>
          <w:rFonts w:ascii="Times New Roman" w:hAnsi="Times New Roman" w:cs="Times New Roman"/>
          <w:sz w:val="26"/>
          <w:szCs w:val="26"/>
          <w:u w:val="single"/>
        </w:rPr>
        <w:t>Governmental Liability.</w:t>
      </w:r>
      <w:proofErr w:type="gramEnd"/>
      <w:r w:rsidRPr="00821907">
        <w:rPr>
          <w:rFonts w:ascii="Times New Roman" w:hAnsi="Times New Roman" w:cs="Times New Roman"/>
          <w:sz w:val="26"/>
          <w:szCs w:val="26"/>
        </w:rPr>
        <w:t xml:space="preserve"> A government entity cannot be held liable for the actions of its employees under 42 U.S.C. § 1983 based on a theory of </w:t>
      </w:r>
      <w:proofErr w:type="spellStart"/>
      <w:r w:rsidRPr="00821907">
        <w:rPr>
          <w:rFonts w:ascii="Times New Roman" w:hAnsi="Times New Roman" w:cs="Times New Roman"/>
          <w:i/>
          <w:sz w:val="26"/>
          <w:szCs w:val="26"/>
        </w:rPr>
        <w:t>respondeat</w:t>
      </w:r>
      <w:proofErr w:type="spellEnd"/>
      <w:r w:rsidRPr="00821907">
        <w:rPr>
          <w:rFonts w:ascii="Times New Roman" w:hAnsi="Times New Roman" w:cs="Times New Roman"/>
          <w:i/>
          <w:sz w:val="26"/>
          <w:szCs w:val="26"/>
        </w:rPr>
        <w:t xml:space="preserve"> superior</w:t>
      </w:r>
      <w:r w:rsidRPr="00821907">
        <w:rPr>
          <w:rFonts w:ascii="Times New Roman" w:hAnsi="Times New Roman" w:cs="Times New Roman"/>
          <w:sz w:val="26"/>
          <w:szCs w:val="26"/>
        </w:rPr>
        <w:t xml:space="preserve">. </w:t>
      </w:r>
      <w:r w:rsidRPr="00821907">
        <w:rPr>
          <w:rFonts w:ascii="Times New Roman" w:hAnsi="Times New Roman" w:cs="Times New Roman"/>
          <w:i/>
          <w:sz w:val="26"/>
          <w:szCs w:val="26"/>
        </w:rPr>
        <w:t xml:space="preserve">Griffin v. City of </w:t>
      </w:r>
      <w:proofErr w:type="spellStart"/>
      <w:r w:rsidRPr="00821907">
        <w:rPr>
          <w:rFonts w:ascii="Times New Roman" w:hAnsi="Times New Roman" w:cs="Times New Roman"/>
          <w:i/>
          <w:sz w:val="26"/>
          <w:szCs w:val="26"/>
        </w:rPr>
        <w:t>Opa-Locka</w:t>
      </w:r>
      <w:proofErr w:type="spellEnd"/>
      <w:r w:rsidRPr="00821907">
        <w:rPr>
          <w:rFonts w:ascii="Times New Roman" w:hAnsi="Times New Roman" w:cs="Times New Roman"/>
          <w:sz w:val="26"/>
          <w:szCs w:val="26"/>
        </w:rPr>
        <w:t>, 261 F.3d 1295, 1307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 xml:space="preserve">Cir. 2001) (citing </w:t>
      </w:r>
      <w:proofErr w:type="spellStart"/>
      <w:r w:rsidRPr="00821907">
        <w:rPr>
          <w:rFonts w:ascii="Times New Roman" w:hAnsi="Times New Roman" w:cs="Times New Roman"/>
          <w:i/>
          <w:sz w:val="26"/>
          <w:szCs w:val="26"/>
        </w:rPr>
        <w:t>Monell</w:t>
      </w:r>
      <w:proofErr w:type="spellEnd"/>
      <w:r w:rsidRPr="00821907">
        <w:rPr>
          <w:rFonts w:ascii="Times New Roman" w:hAnsi="Times New Roman" w:cs="Times New Roman"/>
          <w:i/>
          <w:sz w:val="26"/>
          <w:szCs w:val="26"/>
        </w:rPr>
        <w:t xml:space="preserve"> v. Dep’t of Soc. </w:t>
      </w:r>
      <w:proofErr w:type="spellStart"/>
      <w:r w:rsidRPr="00821907">
        <w:rPr>
          <w:rFonts w:ascii="Times New Roman" w:hAnsi="Times New Roman" w:cs="Times New Roman"/>
          <w:i/>
          <w:sz w:val="26"/>
          <w:szCs w:val="26"/>
        </w:rPr>
        <w:t>Servs</w:t>
      </w:r>
      <w:proofErr w:type="spellEnd"/>
      <w:r w:rsidRPr="00821907">
        <w:rPr>
          <w:rFonts w:ascii="Times New Roman" w:hAnsi="Times New Roman" w:cs="Times New Roman"/>
          <w:i/>
          <w:sz w:val="26"/>
          <w:szCs w:val="26"/>
        </w:rPr>
        <w:t>.</w:t>
      </w:r>
      <w:r w:rsidRPr="00821907">
        <w:rPr>
          <w:rFonts w:ascii="Times New Roman" w:hAnsi="Times New Roman" w:cs="Times New Roman"/>
          <w:sz w:val="26"/>
          <w:szCs w:val="26"/>
        </w:rPr>
        <w:t xml:space="preserve">, 436 U.S. 658, 663 n.7 (1978)). “Rather, only deprivations undertaken pursuant to governmental ‘custom’ or ‘policy’ may lead to the imposition of governmental liability.” Id. To prove a “custom, a plaintiff must establish a widespread practice that, although not authorized by written law or express municipal policy, is so permanent and well settled as to constitute a ‘custom or usage with the force of law.’” </w:t>
      </w:r>
      <w:r w:rsidRPr="00821907">
        <w:rPr>
          <w:rFonts w:ascii="Times New Roman" w:hAnsi="Times New Roman" w:cs="Times New Roman"/>
          <w:i/>
          <w:sz w:val="26"/>
          <w:szCs w:val="26"/>
        </w:rPr>
        <w:t>Id</w:t>
      </w:r>
      <w:r w:rsidRPr="00821907">
        <w:rPr>
          <w:rFonts w:ascii="Times New Roman" w:hAnsi="Times New Roman" w:cs="Times New Roman"/>
          <w:sz w:val="26"/>
          <w:szCs w:val="26"/>
        </w:rPr>
        <w:t>. at 1308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 xml:space="preserve">Cir. 2001) (some internal quotation marks omitted); </w:t>
      </w:r>
      <w:r w:rsidRPr="00821907">
        <w:rPr>
          <w:rFonts w:ascii="Times New Roman" w:hAnsi="Times New Roman" w:cs="Times New Roman"/>
          <w:i/>
          <w:sz w:val="26"/>
          <w:szCs w:val="26"/>
        </w:rPr>
        <w:t xml:space="preserve">accord </w:t>
      </w:r>
      <w:proofErr w:type="spellStart"/>
      <w:r w:rsidRPr="00821907">
        <w:rPr>
          <w:rFonts w:ascii="Times New Roman" w:hAnsi="Times New Roman" w:cs="Times New Roman"/>
          <w:i/>
          <w:sz w:val="26"/>
          <w:szCs w:val="26"/>
        </w:rPr>
        <w:t>Monell</w:t>
      </w:r>
      <w:proofErr w:type="spellEnd"/>
      <w:r w:rsidRPr="00821907">
        <w:rPr>
          <w:rFonts w:ascii="Times New Roman" w:hAnsi="Times New Roman" w:cs="Times New Roman"/>
          <w:sz w:val="26"/>
          <w:szCs w:val="26"/>
        </w:rPr>
        <w:t>, 436 U.S. at 690-91.</w:t>
      </w:r>
    </w:p>
    <w:p w:rsidR="00821907"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This pattern instruction contains language that is intended to guide the jury through the “policy or custom issue”.” If there is a dispute as to whether the </w:t>
      </w:r>
      <w:proofErr w:type="spellStart"/>
      <w:r w:rsidRPr="00821907">
        <w:rPr>
          <w:rFonts w:ascii="Times New Roman" w:hAnsi="Times New Roman" w:cs="Times New Roman"/>
          <w:sz w:val="26"/>
          <w:szCs w:val="26"/>
        </w:rPr>
        <w:t>decisionmaker</w:t>
      </w:r>
      <w:proofErr w:type="spellEnd"/>
      <w:r w:rsidRPr="00821907">
        <w:rPr>
          <w:rFonts w:ascii="Times New Roman" w:hAnsi="Times New Roman" w:cs="Times New Roman"/>
          <w:sz w:val="26"/>
          <w:szCs w:val="26"/>
        </w:rPr>
        <w:t xml:space="preserve"> was a final policymaker, then the instruction should be adapted accordingly. Please refer to the annotations to Federal Claims Instruction 4.3, </w:t>
      </w:r>
      <w:r w:rsidRPr="00821907">
        <w:rPr>
          <w:rFonts w:ascii="Times New Roman" w:hAnsi="Times New Roman" w:cs="Times New Roman"/>
          <w:i/>
          <w:sz w:val="26"/>
          <w:szCs w:val="26"/>
        </w:rPr>
        <w:t>supra</w:t>
      </w:r>
      <w:r w:rsidRPr="00821907">
        <w:rPr>
          <w:rFonts w:ascii="Times New Roman" w:hAnsi="Times New Roman" w:cs="Times New Roman"/>
          <w:sz w:val="26"/>
          <w:szCs w:val="26"/>
        </w:rPr>
        <w:t>.</w:t>
      </w:r>
    </w:p>
    <w:p w:rsidR="00821907" w:rsidRPr="00821907" w:rsidRDefault="00821907" w:rsidP="008E44F5">
      <w:pPr>
        <w:spacing w:after="240" w:line="240" w:lineRule="auto"/>
        <w:jc w:val="both"/>
        <w:rPr>
          <w:rFonts w:ascii="Times New Roman" w:hAnsi="Times New Roman" w:cs="Times New Roman"/>
          <w:b/>
          <w:sz w:val="26"/>
          <w:szCs w:val="26"/>
        </w:rPr>
      </w:pPr>
      <w:r w:rsidRPr="00821907">
        <w:rPr>
          <w:rFonts w:ascii="Times New Roman" w:hAnsi="Times New Roman" w:cs="Times New Roman"/>
          <w:b/>
          <w:sz w:val="26"/>
          <w:szCs w:val="26"/>
        </w:rPr>
        <w:fldChar w:fldCharType="begin"/>
      </w:r>
      <w:r w:rsidRPr="00821907">
        <w:rPr>
          <w:rFonts w:ascii="Times New Roman" w:hAnsi="Times New Roman" w:cs="Times New Roman"/>
          <w:b/>
          <w:sz w:val="26"/>
          <w:szCs w:val="26"/>
        </w:rPr>
        <w:instrText xml:space="preserve"> LISTNUM  OutlineDefault \l 1 \s 4 </w:instrText>
      </w:r>
      <w:r w:rsidRPr="00821907">
        <w:rPr>
          <w:rFonts w:ascii="Times New Roman" w:hAnsi="Times New Roman" w:cs="Times New Roman"/>
          <w:b/>
          <w:sz w:val="26"/>
          <w:szCs w:val="26"/>
        </w:rPr>
        <w:fldChar w:fldCharType="end"/>
      </w:r>
      <w:r w:rsidRPr="00821907">
        <w:rPr>
          <w:rFonts w:ascii="Times New Roman" w:hAnsi="Times New Roman" w:cs="Times New Roman"/>
          <w:b/>
          <w:sz w:val="26"/>
          <w:szCs w:val="26"/>
        </w:rPr>
        <w:t xml:space="preserve"> Remedies</w:t>
      </w:r>
    </w:p>
    <w:p w:rsidR="00821907"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A plaintiff cannot recover punitive damages in a § 1983 action against a government entity. </w:t>
      </w:r>
      <w:r w:rsidRPr="00821907">
        <w:rPr>
          <w:rFonts w:ascii="Times New Roman" w:hAnsi="Times New Roman" w:cs="Times New Roman"/>
          <w:i/>
          <w:sz w:val="26"/>
          <w:szCs w:val="26"/>
        </w:rPr>
        <w:t>E.g., Young Apartments, Inc. v. Town of Jupiter, Fla.</w:t>
      </w:r>
      <w:r w:rsidRPr="00821907">
        <w:rPr>
          <w:rFonts w:ascii="Times New Roman" w:hAnsi="Times New Roman" w:cs="Times New Roman"/>
          <w:sz w:val="26"/>
          <w:szCs w:val="26"/>
        </w:rPr>
        <w:t>, 529 F.3d 1027, 1047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 xml:space="preserve">Cir. 2008) (citing </w:t>
      </w:r>
      <w:r w:rsidRPr="00821907">
        <w:rPr>
          <w:rFonts w:ascii="Times New Roman" w:hAnsi="Times New Roman" w:cs="Times New Roman"/>
          <w:i/>
          <w:sz w:val="26"/>
          <w:szCs w:val="26"/>
        </w:rPr>
        <w:t>City of Newport v. Fact Concerts, Inc.</w:t>
      </w:r>
      <w:r w:rsidRPr="00821907">
        <w:rPr>
          <w:rFonts w:ascii="Times New Roman" w:hAnsi="Times New Roman" w:cs="Times New Roman"/>
          <w:sz w:val="26"/>
          <w:szCs w:val="26"/>
        </w:rPr>
        <w:t xml:space="preserve">, 453 U.S. 247, 267 (1981)) (“In a § 1983 action, punitive damages are only available from government officials when they are sued in their individual capacities.”). Therefore, if the case involves claims against a government entity only, then the punitive damages instruction should not be given; if the case involves claims against a government entity </w:t>
      </w:r>
      <w:r w:rsidRPr="00821907">
        <w:rPr>
          <w:rFonts w:ascii="Times New Roman" w:hAnsi="Times New Roman" w:cs="Times New Roman"/>
          <w:i/>
          <w:sz w:val="26"/>
          <w:szCs w:val="26"/>
        </w:rPr>
        <w:t>and</w:t>
      </w:r>
      <w:r w:rsidRPr="00821907">
        <w:rPr>
          <w:rFonts w:ascii="Times New Roman" w:hAnsi="Times New Roman" w:cs="Times New Roman"/>
          <w:sz w:val="26"/>
          <w:szCs w:val="26"/>
        </w:rPr>
        <w:t xml:space="preserve"> government officials sued in their individual capacities, then the instruction and verdict form should be adapted to clarify that the jury may only consider the issue of punitive damages with regard to the individual defendants.</w:t>
      </w:r>
    </w:p>
    <w:p w:rsidR="00821907"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For additional annotations and comments regarding remedies, please see the Annotations and Comments following Pattern Instruction 4.1, </w:t>
      </w:r>
      <w:r w:rsidRPr="00821907">
        <w:rPr>
          <w:rFonts w:ascii="Times New Roman" w:hAnsi="Times New Roman" w:cs="Times New Roman"/>
          <w:i/>
          <w:sz w:val="26"/>
          <w:szCs w:val="26"/>
        </w:rPr>
        <w:t>supra</w:t>
      </w:r>
      <w:r w:rsidRPr="00821907">
        <w:rPr>
          <w:rFonts w:ascii="Times New Roman" w:hAnsi="Times New Roman" w:cs="Times New Roman"/>
          <w:sz w:val="26"/>
          <w:szCs w:val="26"/>
        </w:rPr>
        <w:t>.</w:t>
      </w:r>
    </w:p>
    <w:p w:rsidR="00821907" w:rsidRPr="00821907" w:rsidRDefault="00821907" w:rsidP="008E44F5">
      <w:pPr>
        <w:spacing w:after="240" w:line="240" w:lineRule="auto"/>
        <w:jc w:val="both"/>
        <w:rPr>
          <w:rFonts w:ascii="Times New Roman" w:hAnsi="Times New Roman" w:cs="Times New Roman"/>
          <w:b/>
          <w:sz w:val="26"/>
          <w:szCs w:val="26"/>
        </w:rPr>
      </w:pPr>
      <w:r w:rsidRPr="00821907">
        <w:rPr>
          <w:rFonts w:ascii="Times New Roman" w:hAnsi="Times New Roman" w:cs="Times New Roman"/>
          <w:b/>
          <w:sz w:val="26"/>
          <w:szCs w:val="26"/>
        </w:rPr>
        <w:lastRenderedPageBreak/>
        <w:fldChar w:fldCharType="begin"/>
      </w:r>
      <w:r w:rsidRPr="00821907">
        <w:rPr>
          <w:rFonts w:ascii="Times New Roman" w:hAnsi="Times New Roman" w:cs="Times New Roman"/>
          <w:b/>
          <w:sz w:val="26"/>
          <w:szCs w:val="26"/>
        </w:rPr>
        <w:instrText xml:space="preserve"> LISTNUM  OutlineDefault \l 1 \s 5 </w:instrText>
      </w:r>
      <w:r w:rsidRPr="00821907">
        <w:rPr>
          <w:rFonts w:ascii="Times New Roman" w:hAnsi="Times New Roman" w:cs="Times New Roman"/>
          <w:b/>
          <w:sz w:val="26"/>
          <w:szCs w:val="26"/>
        </w:rPr>
        <w:fldChar w:fldCharType="end"/>
      </w:r>
      <w:r w:rsidRPr="00821907">
        <w:rPr>
          <w:rFonts w:ascii="Times New Roman" w:hAnsi="Times New Roman" w:cs="Times New Roman"/>
          <w:b/>
          <w:sz w:val="26"/>
          <w:szCs w:val="26"/>
        </w:rPr>
        <w:t xml:space="preserve"> When the Case Involves Hostile Work Environment Claims </w:t>
      </w:r>
      <w:proofErr w:type="gramStart"/>
      <w:r w:rsidRPr="00821907">
        <w:rPr>
          <w:rFonts w:ascii="Times New Roman" w:hAnsi="Times New Roman" w:cs="Times New Roman"/>
          <w:b/>
          <w:sz w:val="26"/>
          <w:szCs w:val="26"/>
        </w:rPr>
        <w:t>Under</w:t>
      </w:r>
      <w:proofErr w:type="gramEnd"/>
      <w:r w:rsidRPr="00821907">
        <w:rPr>
          <w:rFonts w:ascii="Times New Roman" w:hAnsi="Times New Roman" w:cs="Times New Roman"/>
          <w:b/>
          <w:sz w:val="26"/>
          <w:szCs w:val="26"/>
        </w:rPr>
        <w:t xml:space="preserve"> More than One Statute</w:t>
      </w:r>
    </w:p>
    <w:p w:rsidR="0005116F" w:rsidRPr="00821907" w:rsidRDefault="00821907" w:rsidP="008E44F5">
      <w:pPr>
        <w:spacing w:after="240" w:line="240" w:lineRule="auto"/>
        <w:ind w:firstLine="720"/>
        <w:jc w:val="both"/>
        <w:rPr>
          <w:rFonts w:ascii="Times New Roman" w:hAnsi="Times New Roman" w:cs="Times New Roman"/>
          <w:sz w:val="26"/>
          <w:szCs w:val="26"/>
        </w:rPr>
      </w:pPr>
      <w:r w:rsidRPr="00821907">
        <w:rPr>
          <w:rFonts w:ascii="Times New Roman" w:hAnsi="Times New Roman" w:cs="Times New Roman"/>
          <w:sz w:val="26"/>
          <w:szCs w:val="26"/>
        </w:rPr>
        <w:t xml:space="preserve">In some cases, a plaintiff will bring a hostile work environment claim under more than one statute based on the same set of facts (Title VII, Equal Protection Clause, and 42 U.S.C. § 1981). The jury instruction on these separate claims can be combined because the elements of an Equal Protection hostile work environment claim are the same as hostile work environment claims brought under Title VII of the Civil Rights Act of 1964 and 42 U.S.C. § 1981. </w:t>
      </w:r>
      <w:r w:rsidRPr="00821907">
        <w:rPr>
          <w:rFonts w:ascii="Times New Roman" w:hAnsi="Times New Roman" w:cs="Times New Roman"/>
          <w:i/>
          <w:sz w:val="26"/>
          <w:szCs w:val="26"/>
        </w:rPr>
        <w:t>Bryant v. Jones</w:t>
      </w:r>
      <w:r w:rsidRPr="00821907">
        <w:rPr>
          <w:rFonts w:ascii="Times New Roman" w:hAnsi="Times New Roman" w:cs="Times New Roman"/>
          <w:sz w:val="26"/>
          <w:szCs w:val="26"/>
        </w:rPr>
        <w:t>, 575 F.3d 1281, 1296 n.20 (11</w:t>
      </w:r>
      <w:r w:rsidRPr="00821907">
        <w:rPr>
          <w:rFonts w:ascii="Times New Roman" w:hAnsi="Times New Roman" w:cs="Times New Roman"/>
          <w:sz w:val="26"/>
          <w:szCs w:val="26"/>
          <w:vertAlign w:val="superscript"/>
        </w:rPr>
        <w:t xml:space="preserve">th </w:t>
      </w:r>
      <w:r w:rsidRPr="00821907">
        <w:rPr>
          <w:rFonts w:ascii="Times New Roman" w:hAnsi="Times New Roman" w:cs="Times New Roman"/>
          <w:sz w:val="26"/>
          <w:szCs w:val="26"/>
        </w:rPr>
        <w:t>Cir. 2009). Two issues to consid</w:t>
      </w:r>
      <w:r>
        <w:rPr>
          <w:rFonts w:ascii="Times New Roman" w:hAnsi="Times New Roman" w:cs="Times New Roman"/>
          <w:sz w:val="26"/>
          <w:szCs w:val="26"/>
        </w:rPr>
        <w:t xml:space="preserve">er when combining instructions: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1 </w:instrTex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821907">
        <w:rPr>
          <w:rFonts w:ascii="Times New Roman" w:hAnsi="Times New Roman" w:cs="Times New Roman"/>
          <w:sz w:val="26"/>
          <w:szCs w:val="26"/>
        </w:rPr>
        <w:t>statutes of limitations differ, so the instruction and verdict form should take that into account;</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2 </w:instrTex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821907">
        <w:rPr>
          <w:rFonts w:ascii="Times New Roman" w:hAnsi="Times New Roman" w:cs="Times New Roman"/>
          <w:sz w:val="26"/>
          <w:szCs w:val="26"/>
        </w:rPr>
        <w:t>the availability of punitive damages differs by statute and type of defendant, so the instruction and verdict form should take that into account.</w:t>
      </w:r>
      <w:bookmarkEnd w:id="0"/>
    </w:p>
    <w:sectPr w:rsidR="0005116F" w:rsidRPr="0082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07"/>
    <w:rsid w:val="0005116F"/>
    <w:rsid w:val="00821907"/>
    <w:rsid w:val="008E44F5"/>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2014-06-16T17:49:00Z</dcterms:created>
  <dcterms:modified xsi:type="dcterms:W3CDTF">2014-06-19T22:28:00Z</dcterms:modified>
</cp:coreProperties>
</file>