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2E" w:rsidRPr="009E3471" w:rsidRDefault="00A9462E" w:rsidP="00BB4867">
      <w:pPr>
        <w:spacing w:after="240" w:line="240" w:lineRule="auto"/>
        <w:jc w:val="both"/>
        <w:rPr>
          <w:rFonts w:ascii="Times New Roman" w:hAnsi="Times New Roman" w:cs="Times New Roman"/>
          <w:b/>
          <w:sz w:val="26"/>
          <w:szCs w:val="26"/>
          <w:u w:val="single"/>
        </w:rPr>
      </w:pPr>
      <w:bookmarkStart w:id="0" w:name="_GoBack"/>
      <w:r w:rsidRPr="009E3471">
        <w:rPr>
          <w:rFonts w:ascii="Times New Roman" w:hAnsi="Times New Roman" w:cs="Times New Roman"/>
          <w:b/>
          <w:sz w:val="26"/>
          <w:szCs w:val="26"/>
          <w:u w:val="single"/>
        </w:rPr>
        <w:t>ANNOTATIONS AND COMMENTS</w:t>
      </w:r>
    </w:p>
    <w:p w:rsidR="00A9462E" w:rsidRPr="009E3471" w:rsidRDefault="00A9462E" w:rsidP="00BB4867">
      <w:pPr>
        <w:spacing w:after="240" w:line="240" w:lineRule="auto"/>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1 \s 1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Causes of Action</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Title VII of the Civil Rights Act of 1964 prohibits employment discrimination on the basis of “race, color, religion, sex, or national origin.” </w:t>
      </w:r>
      <w:proofErr w:type="gramStart"/>
      <w:r w:rsidRPr="00A9462E">
        <w:rPr>
          <w:rFonts w:ascii="Times New Roman" w:hAnsi="Times New Roman" w:cs="Times New Roman"/>
          <w:sz w:val="26"/>
          <w:szCs w:val="26"/>
        </w:rPr>
        <w:t>42 U.S.C. § 2000e-2</w:t>
      </w:r>
      <w:proofErr w:type="gramEnd"/>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1 </w:instrText>
      </w:r>
      <w:r>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r w:rsidRPr="00A9462E">
        <w:rPr>
          <w:rFonts w:ascii="Times New Roman" w:hAnsi="Times New Roman" w:cs="Times New Roman"/>
          <w:sz w:val="26"/>
          <w:szCs w:val="26"/>
        </w:rPr>
        <w:t xml:space="preserve"> Pattern Instruction 4.5 provides instructions for discharge and failure to promote claims, but it is also intended to be used for any other case in which the plaintiff alleges a discriminatory adverse employment action, including wage discrimination, demotion, or other serious and material change to the plaintiff’s terms and conditions of employment. Pattern Instruction 4.5 may also be used as the starting point for jury instructions in cases in which the plaintiff alleges the adverse employment action of failure to hire, though slight modifications will be required. Pattern Instruction 4.5 may be used for general claims that a hostile work environment culminated in a “tangible employment action,” such as discharge or demotion. Pattern Instruction 4.5 is meant to be used for general disparate treatment claims; for claims where the disparate treatment is allegedly based on the plaintiff’s refusal of unwelcome sexual advances, Pattern Instruction 4.8, </w:t>
      </w:r>
      <w:r w:rsidRPr="009E3471">
        <w:rPr>
          <w:rFonts w:ascii="Times New Roman" w:hAnsi="Times New Roman" w:cs="Times New Roman"/>
          <w:i/>
          <w:sz w:val="26"/>
          <w:szCs w:val="26"/>
        </w:rPr>
        <w:t>infra</w:t>
      </w:r>
      <w:r w:rsidRPr="00A9462E">
        <w:rPr>
          <w:rFonts w:ascii="Times New Roman" w:hAnsi="Times New Roman" w:cs="Times New Roman"/>
          <w:sz w:val="26"/>
          <w:szCs w:val="26"/>
        </w:rPr>
        <w:t xml:space="preserve">, applies. Pattern Instruction 4.5 is </w:t>
      </w:r>
      <w:r w:rsidRPr="009E3471">
        <w:rPr>
          <w:rFonts w:ascii="Times New Roman" w:hAnsi="Times New Roman" w:cs="Times New Roman"/>
          <w:i/>
          <w:sz w:val="26"/>
          <w:szCs w:val="26"/>
        </w:rPr>
        <w:t>not</w:t>
      </w:r>
      <w:r w:rsidRPr="00A9462E">
        <w:rPr>
          <w:rFonts w:ascii="Times New Roman" w:hAnsi="Times New Roman" w:cs="Times New Roman"/>
          <w:sz w:val="26"/>
          <w:szCs w:val="26"/>
        </w:rPr>
        <w:t xml:space="preserve"> intended to be used for hostile work environment claims that do not involve a tangible employment action; Pattern Instructions 4.6 and 4.7, </w:t>
      </w:r>
      <w:r w:rsidRPr="009E3471">
        <w:rPr>
          <w:rFonts w:ascii="Times New Roman" w:hAnsi="Times New Roman" w:cs="Times New Roman"/>
          <w:i/>
          <w:sz w:val="26"/>
          <w:szCs w:val="26"/>
        </w:rPr>
        <w:t>infra</w:t>
      </w:r>
      <w:r w:rsidRPr="00A9462E">
        <w:rPr>
          <w:rFonts w:ascii="Times New Roman" w:hAnsi="Times New Roman" w:cs="Times New Roman"/>
          <w:sz w:val="26"/>
          <w:szCs w:val="26"/>
        </w:rPr>
        <w:t>, address those claims.</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Pattern Instruction 4.5 is intended to be used for all claims under Title VII, including claims of color discrimination. It is rare to have a claim of color discrimination separate from a claim of race discrimination, but the issue does occasionally arise. </w:t>
      </w:r>
      <w:r w:rsidRPr="009E3471">
        <w:rPr>
          <w:rFonts w:ascii="Times New Roman" w:hAnsi="Times New Roman" w:cs="Times New Roman"/>
          <w:i/>
          <w:sz w:val="26"/>
          <w:szCs w:val="26"/>
        </w:rPr>
        <w:t xml:space="preserve">See, e.g., Walker v. </w:t>
      </w:r>
      <w:proofErr w:type="spellStart"/>
      <w:r w:rsidRPr="009E3471">
        <w:rPr>
          <w:rFonts w:ascii="Times New Roman" w:hAnsi="Times New Roman" w:cs="Times New Roman"/>
          <w:i/>
          <w:sz w:val="26"/>
          <w:szCs w:val="26"/>
        </w:rPr>
        <w:t>Sec’y</w:t>
      </w:r>
      <w:proofErr w:type="spellEnd"/>
      <w:r w:rsidRPr="009E3471">
        <w:rPr>
          <w:rFonts w:ascii="Times New Roman" w:hAnsi="Times New Roman" w:cs="Times New Roman"/>
          <w:i/>
          <w:sz w:val="26"/>
          <w:szCs w:val="26"/>
        </w:rPr>
        <w:t xml:space="preserve"> of Treasury</w:t>
      </w:r>
      <w:r w:rsidRPr="00A9462E">
        <w:rPr>
          <w:rFonts w:ascii="Times New Roman" w:hAnsi="Times New Roman" w:cs="Times New Roman"/>
          <w:sz w:val="26"/>
          <w:szCs w:val="26"/>
        </w:rPr>
        <w:t>, 713 F. Supp. 403, 408 (N.D. Ga. 1989) (finding that light-skinned black person’s Title VII color discrimination claim for termination by dark-skinned black supervisor “stated a claim for relief that cannot be reached by summary judgment”).</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Pattern Instruction 4.5 is also intended to be used for claims under the Pregnancy Discrimination Act, 42 U.S.C. § 2000e</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11 </w:instrText>
      </w:r>
      <w:r>
        <w:rPr>
          <w:rFonts w:ascii="Times New Roman" w:hAnsi="Times New Roman" w:cs="Times New Roman"/>
          <w:sz w:val="26"/>
          <w:szCs w:val="26"/>
        </w:rPr>
        <w:fldChar w:fldCharType="end"/>
      </w:r>
      <w:r w:rsidRPr="00A9462E">
        <w:rPr>
          <w:rFonts w:ascii="Times New Roman" w:hAnsi="Times New Roman" w:cs="Times New Roman"/>
          <w:sz w:val="26"/>
          <w:szCs w:val="26"/>
        </w:rPr>
        <w:t xml:space="preserve">, which provides that “[t]he terms ‘because of sex’ or ‘on the basis of sex’ include, but are not limited to, because of or on the basis of pregnancy, childbirth, or related medical conditions.” </w:t>
      </w:r>
      <w:proofErr w:type="gramStart"/>
      <w:r w:rsidRPr="00A9462E">
        <w:rPr>
          <w:rFonts w:ascii="Times New Roman" w:hAnsi="Times New Roman" w:cs="Times New Roman"/>
          <w:sz w:val="26"/>
          <w:szCs w:val="26"/>
        </w:rPr>
        <w:t>42 U.S.C. § 2000e</w:t>
      </w:r>
      <w:proofErr w:type="gramEnd"/>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11 </w:instrText>
      </w:r>
      <w:r>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r w:rsidRPr="00A9462E">
        <w:rPr>
          <w:rFonts w:ascii="Times New Roman" w:hAnsi="Times New Roman" w:cs="Times New Roman"/>
          <w:sz w:val="26"/>
          <w:szCs w:val="26"/>
        </w:rPr>
        <w:t xml:space="preserve"> It further provides that “women affected by pregnancy, childbirth, or related medical conditions shall be treated the same for all employment-related purposes, including receipt of benefits under fringe benefit programs, as other persons not so affected but similar in their ability or inability to work.” </w:t>
      </w:r>
      <w:r w:rsidRPr="009E3471">
        <w:rPr>
          <w:rFonts w:ascii="Times New Roman" w:hAnsi="Times New Roman" w:cs="Times New Roman"/>
          <w:i/>
          <w:sz w:val="26"/>
          <w:szCs w:val="26"/>
        </w:rPr>
        <w:t>Id</w:t>
      </w:r>
      <w:r w:rsidRPr="00A9462E">
        <w:rPr>
          <w:rFonts w:ascii="Times New Roman" w:hAnsi="Times New Roman" w:cs="Times New Roman"/>
          <w:sz w:val="26"/>
          <w:szCs w:val="26"/>
        </w:rPr>
        <w:t>.</w:t>
      </w:r>
    </w:p>
    <w:p w:rsidR="00A9462E" w:rsidRPr="009E3471" w:rsidRDefault="00A9462E" w:rsidP="00BB4867">
      <w:pPr>
        <w:spacing w:after="240" w:line="240" w:lineRule="auto"/>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1 \s 2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Elements and Defenses</w:t>
      </w:r>
    </w:p>
    <w:p w:rsidR="00A9462E" w:rsidRPr="009E3471" w:rsidRDefault="00A9462E"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1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“Adverse Employment Action”</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To prevail on a Title VII disparate treatment claim, the plaintiff must prove that the employer subjected the plaintiff to an “adverse employment action.” Pattern Instruction 4.5 does not define “adverse employment action.” In most cases, the question </w:t>
      </w:r>
      <w:r w:rsidRPr="00A9462E">
        <w:rPr>
          <w:rFonts w:ascii="Times New Roman" w:hAnsi="Times New Roman" w:cs="Times New Roman"/>
          <w:sz w:val="26"/>
          <w:szCs w:val="26"/>
        </w:rPr>
        <w:lastRenderedPageBreak/>
        <w:t xml:space="preserve">whether an employer’s decision amounts to an “adverse employment action” will not be disputed because the decision is clearly an adverse employment action, such as termination, failure to promote, or demotion with pay cut. If there is a fact dispute as to whether an employment action amounts to an “adverse employment action,” the instruction and verdict form should be adapted accordingly. An “adverse employment action” is </w:t>
      </w:r>
      <w:proofErr w:type="gramStart"/>
      <w:r w:rsidRPr="00A9462E">
        <w:rPr>
          <w:rFonts w:ascii="Times New Roman" w:hAnsi="Times New Roman" w:cs="Times New Roman"/>
          <w:sz w:val="26"/>
          <w:szCs w:val="26"/>
        </w:rPr>
        <w:t>a</w:t>
      </w:r>
      <w:proofErr w:type="gramEnd"/>
      <w:r w:rsidRPr="00A9462E">
        <w:rPr>
          <w:rFonts w:ascii="Times New Roman" w:hAnsi="Times New Roman" w:cs="Times New Roman"/>
          <w:sz w:val="26"/>
          <w:szCs w:val="26"/>
        </w:rPr>
        <w:t xml:space="preserve"> “</w:t>
      </w:r>
      <w:r w:rsidRPr="009E3471">
        <w:rPr>
          <w:rFonts w:ascii="Times New Roman" w:hAnsi="Times New Roman" w:cs="Times New Roman"/>
          <w:i/>
          <w:sz w:val="26"/>
          <w:szCs w:val="26"/>
        </w:rPr>
        <w:t>a serious and material</w:t>
      </w:r>
      <w:r w:rsidRPr="00A9462E">
        <w:rPr>
          <w:rFonts w:ascii="Times New Roman" w:hAnsi="Times New Roman" w:cs="Times New Roman"/>
          <w:sz w:val="26"/>
          <w:szCs w:val="26"/>
        </w:rPr>
        <w:t xml:space="preserve"> change in the terms, conditions, or privileges of employment.” </w:t>
      </w:r>
      <w:proofErr w:type="gramStart"/>
      <w:r w:rsidRPr="009E3471">
        <w:rPr>
          <w:rFonts w:ascii="Times New Roman" w:hAnsi="Times New Roman" w:cs="Times New Roman"/>
          <w:i/>
          <w:sz w:val="26"/>
          <w:szCs w:val="26"/>
        </w:rPr>
        <w:t>Crawford v. Carroll</w:t>
      </w:r>
      <w:r w:rsidRPr="00A9462E">
        <w:rPr>
          <w:rFonts w:ascii="Times New Roman" w:hAnsi="Times New Roman" w:cs="Times New Roman"/>
          <w:sz w:val="26"/>
          <w:szCs w:val="26"/>
        </w:rPr>
        <w:t>, 529 F.3d 961, 970-71 (11</w:t>
      </w:r>
      <w:r w:rsidRPr="000C052D">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2008) (internal quotation marks omitted).</w:t>
      </w:r>
      <w:proofErr w:type="gramEnd"/>
    </w:p>
    <w:p w:rsidR="00A9462E" w:rsidRPr="009E3471" w:rsidRDefault="00A9462E"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2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Causation</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Pattern Instruction 4.5 charges that the protected trait (race, sex, religion, national origin, color) must be a “motivating factor” in the employer’s decision. This instruction is based on the statutory language. </w:t>
      </w:r>
      <w:r w:rsidRPr="009E3471">
        <w:rPr>
          <w:rFonts w:ascii="Times New Roman" w:hAnsi="Times New Roman" w:cs="Times New Roman"/>
          <w:i/>
          <w:sz w:val="26"/>
          <w:szCs w:val="26"/>
        </w:rPr>
        <w:t>See</w:t>
      </w:r>
      <w:r w:rsidRPr="00A9462E">
        <w:rPr>
          <w:rFonts w:ascii="Times New Roman" w:hAnsi="Times New Roman" w:cs="Times New Roman"/>
          <w:sz w:val="26"/>
          <w:szCs w:val="26"/>
        </w:rPr>
        <w:t xml:space="preserve"> 42 U.S.C. § 2000e-2</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13 </w:instrText>
      </w:r>
      <w:r>
        <w:rPr>
          <w:rFonts w:ascii="Times New Roman" w:hAnsi="Times New Roman" w:cs="Times New Roman"/>
          <w:sz w:val="26"/>
          <w:szCs w:val="26"/>
        </w:rPr>
        <w:fldChar w:fldCharType="end"/>
      </w:r>
      <w:r w:rsidRPr="00A9462E">
        <w:rPr>
          <w:rFonts w:ascii="Times New Roman" w:hAnsi="Times New Roman" w:cs="Times New Roman"/>
          <w:sz w:val="26"/>
          <w:szCs w:val="26"/>
        </w:rPr>
        <w:t xml:space="preserve"> (“[A]n unlawful employment practice is established when the complaining party demonstrates that race, color, religion, sex, or national origin was a motivating factor for any employment practice, even though other factors also motivated the practice.”). There is Eleventh Circuit precedent approving jury instructions stating that the protected trait must be a “substantial or motivating factor,” </w:t>
      </w:r>
      <w:r w:rsidRPr="009E3471">
        <w:rPr>
          <w:rFonts w:ascii="Times New Roman" w:hAnsi="Times New Roman" w:cs="Times New Roman"/>
          <w:i/>
          <w:sz w:val="26"/>
          <w:szCs w:val="26"/>
        </w:rPr>
        <w:t>e.g., Dudley v. Wal-Mart Stores, Inc.</w:t>
      </w:r>
      <w:r w:rsidRPr="00A9462E">
        <w:rPr>
          <w:rFonts w:ascii="Times New Roman" w:hAnsi="Times New Roman" w:cs="Times New Roman"/>
          <w:sz w:val="26"/>
          <w:szCs w:val="26"/>
        </w:rPr>
        <w:t>, 166 F.3d 1317, 1322 (11</w:t>
      </w:r>
      <w:r w:rsidRPr="000C052D">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 xml:space="preserve">Cir. 1999), and the previous version of the pattern instructions used this language. The Committee believes, however, that the addition of the word “substantial” is potentially confusing, and Pattern Instruction 4.5 charges in accordance with the statutory text, which requires only that the protected </w:t>
      </w:r>
      <w:proofErr w:type="gramStart"/>
      <w:r w:rsidRPr="00A9462E">
        <w:rPr>
          <w:rFonts w:ascii="Times New Roman" w:hAnsi="Times New Roman" w:cs="Times New Roman"/>
          <w:sz w:val="26"/>
          <w:szCs w:val="26"/>
        </w:rPr>
        <w:t>trait</w:t>
      </w:r>
      <w:proofErr w:type="gramEnd"/>
      <w:r w:rsidRPr="00A9462E">
        <w:rPr>
          <w:rFonts w:ascii="Times New Roman" w:hAnsi="Times New Roman" w:cs="Times New Roman"/>
          <w:sz w:val="26"/>
          <w:szCs w:val="26"/>
        </w:rPr>
        <w:t xml:space="preserve"> be a “motivating factor” in the employer’s decision.</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Pattern Instruction 4.5 applies the “motivating factor” standard to all Title VII disparate treatment claims, not just “mixed motive” claims. The Supreme Court reserved the question of “when, if ever, [42 U.S.C. § 2000e-2</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13 </w:instrText>
      </w:r>
      <w:r>
        <w:rPr>
          <w:rFonts w:ascii="Times New Roman" w:hAnsi="Times New Roman" w:cs="Times New Roman"/>
          <w:sz w:val="26"/>
          <w:szCs w:val="26"/>
        </w:rPr>
        <w:fldChar w:fldCharType="end"/>
      </w:r>
      <w:r w:rsidRPr="00A9462E">
        <w:rPr>
          <w:rFonts w:ascii="Times New Roman" w:hAnsi="Times New Roman" w:cs="Times New Roman"/>
          <w:sz w:val="26"/>
          <w:szCs w:val="26"/>
        </w:rPr>
        <w:t xml:space="preserve">] applies outside of the mixed-motive context.” </w:t>
      </w:r>
      <w:r w:rsidRPr="009E3471">
        <w:rPr>
          <w:rFonts w:ascii="Times New Roman" w:hAnsi="Times New Roman" w:cs="Times New Roman"/>
          <w:i/>
          <w:sz w:val="26"/>
          <w:szCs w:val="26"/>
        </w:rPr>
        <w:t>Desert Palace, Inc. v. Costa</w:t>
      </w:r>
      <w:r w:rsidRPr="00A9462E">
        <w:rPr>
          <w:rFonts w:ascii="Times New Roman" w:hAnsi="Times New Roman" w:cs="Times New Roman"/>
          <w:sz w:val="26"/>
          <w:szCs w:val="26"/>
        </w:rPr>
        <w:t xml:space="preserve">, 539 U.S. 90, </w:t>
      </w:r>
      <w:proofErr w:type="gramStart"/>
      <w:r w:rsidRPr="00A9462E">
        <w:rPr>
          <w:rFonts w:ascii="Times New Roman" w:hAnsi="Times New Roman" w:cs="Times New Roman"/>
          <w:sz w:val="26"/>
          <w:szCs w:val="26"/>
        </w:rPr>
        <w:t>94 n.1 (2003)</w:t>
      </w:r>
      <w:proofErr w:type="gramEnd"/>
      <w:r w:rsidRPr="00A9462E">
        <w:rPr>
          <w:rFonts w:ascii="Times New Roman" w:hAnsi="Times New Roman" w:cs="Times New Roman"/>
          <w:sz w:val="26"/>
          <w:szCs w:val="26"/>
        </w:rPr>
        <w:t>. The Committee believes that, as a practical matter, many cases that are submitted to a jury could be construed as “mixed motive” cases, which is why the Committee recommends “motivating factor” language for Pattern Instruction 4.5.</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For the employee’s protected trait to be a motivating factor in the employer’s decision, the employer must have been aware of the protected trait. </w:t>
      </w:r>
      <w:r w:rsidRPr="00835299">
        <w:rPr>
          <w:rFonts w:ascii="Times New Roman" w:hAnsi="Times New Roman" w:cs="Times New Roman"/>
          <w:i/>
          <w:sz w:val="26"/>
          <w:szCs w:val="26"/>
        </w:rPr>
        <w:t>E.</w:t>
      </w:r>
      <w:r w:rsidRPr="009E3471">
        <w:rPr>
          <w:rFonts w:ascii="Times New Roman" w:hAnsi="Times New Roman" w:cs="Times New Roman"/>
          <w:i/>
          <w:sz w:val="26"/>
          <w:szCs w:val="26"/>
        </w:rPr>
        <w:t xml:space="preserve">g., </w:t>
      </w:r>
      <w:proofErr w:type="spellStart"/>
      <w:r w:rsidRPr="009E3471">
        <w:rPr>
          <w:rFonts w:ascii="Times New Roman" w:hAnsi="Times New Roman" w:cs="Times New Roman"/>
          <w:i/>
          <w:sz w:val="26"/>
          <w:szCs w:val="26"/>
        </w:rPr>
        <w:t>Lubetsky</w:t>
      </w:r>
      <w:proofErr w:type="spellEnd"/>
      <w:r w:rsidRPr="009E3471">
        <w:rPr>
          <w:rFonts w:ascii="Times New Roman" w:hAnsi="Times New Roman" w:cs="Times New Roman"/>
          <w:i/>
          <w:sz w:val="26"/>
          <w:szCs w:val="26"/>
        </w:rPr>
        <w:t xml:space="preserve"> v. Applied Card </w:t>
      </w:r>
      <w:proofErr w:type="gramStart"/>
      <w:r w:rsidRPr="009E3471">
        <w:rPr>
          <w:rFonts w:ascii="Times New Roman" w:hAnsi="Times New Roman" w:cs="Times New Roman"/>
          <w:i/>
          <w:sz w:val="26"/>
          <w:szCs w:val="26"/>
        </w:rPr>
        <w:t>Sys.,</w:t>
      </w:r>
      <w:proofErr w:type="gramEnd"/>
      <w:r w:rsidRPr="009E3471">
        <w:rPr>
          <w:rFonts w:ascii="Times New Roman" w:hAnsi="Times New Roman" w:cs="Times New Roman"/>
          <w:i/>
          <w:sz w:val="26"/>
          <w:szCs w:val="26"/>
        </w:rPr>
        <w:t xml:space="preserve"> Inc.</w:t>
      </w:r>
      <w:r w:rsidRPr="00A9462E">
        <w:rPr>
          <w:rFonts w:ascii="Times New Roman" w:hAnsi="Times New Roman" w:cs="Times New Roman"/>
          <w:sz w:val="26"/>
          <w:szCs w:val="26"/>
        </w:rPr>
        <w:t>, 296 F.3d 1301, 1305 (11</w:t>
      </w:r>
      <w:r w:rsidRPr="000C052D">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2002). In cases where there is a fact question on this issue, the court may consider adding a special interrogatory on this point.</w:t>
      </w:r>
    </w:p>
    <w:p w:rsidR="00A9462E" w:rsidRPr="009E3471" w:rsidRDefault="00A9462E"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3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Pretext (In General)</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When analyzing employment discrimination claims in the context of pretrial motions, the courts typically employ the framework established by the Supreme Court in </w:t>
      </w:r>
      <w:r w:rsidRPr="009E3471">
        <w:rPr>
          <w:rFonts w:ascii="Times New Roman" w:hAnsi="Times New Roman" w:cs="Times New Roman"/>
          <w:i/>
          <w:sz w:val="26"/>
          <w:szCs w:val="26"/>
        </w:rPr>
        <w:t>McDonnell Douglas Corp. v. Green</w:t>
      </w:r>
      <w:r w:rsidRPr="00A9462E">
        <w:rPr>
          <w:rFonts w:ascii="Times New Roman" w:hAnsi="Times New Roman" w:cs="Times New Roman"/>
          <w:sz w:val="26"/>
          <w:szCs w:val="26"/>
        </w:rPr>
        <w:t xml:space="preserve">, 411 U.S. 792 (1973) and </w:t>
      </w:r>
      <w:r w:rsidRPr="009E3471">
        <w:rPr>
          <w:rFonts w:ascii="Times New Roman" w:hAnsi="Times New Roman" w:cs="Times New Roman"/>
          <w:i/>
          <w:sz w:val="26"/>
          <w:szCs w:val="26"/>
        </w:rPr>
        <w:t xml:space="preserve">Texas Department of Community Affairs v. </w:t>
      </w:r>
      <w:proofErr w:type="spellStart"/>
      <w:r w:rsidRPr="009E3471">
        <w:rPr>
          <w:rFonts w:ascii="Times New Roman" w:hAnsi="Times New Roman" w:cs="Times New Roman"/>
          <w:i/>
          <w:sz w:val="26"/>
          <w:szCs w:val="26"/>
        </w:rPr>
        <w:t>Burdine</w:t>
      </w:r>
      <w:proofErr w:type="spellEnd"/>
      <w:r w:rsidRPr="00A9462E">
        <w:rPr>
          <w:rFonts w:ascii="Times New Roman" w:hAnsi="Times New Roman" w:cs="Times New Roman"/>
          <w:sz w:val="26"/>
          <w:szCs w:val="26"/>
        </w:rPr>
        <w:t xml:space="preserve">, 450 U.S. 248 (1981). Under that framework, the plaintiff </w:t>
      </w:r>
      <w:r w:rsidRPr="00A9462E">
        <w:rPr>
          <w:rFonts w:ascii="Times New Roman" w:hAnsi="Times New Roman" w:cs="Times New Roman"/>
          <w:sz w:val="26"/>
          <w:szCs w:val="26"/>
        </w:rPr>
        <w:lastRenderedPageBreak/>
        <w:t xml:space="preserve">must establish a prima facie case of discrimination. </w:t>
      </w:r>
      <w:proofErr w:type="gramStart"/>
      <w:r w:rsidRPr="009E3471">
        <w:rPr>
          <w:rFonts w:ascii="Times New Roman" w:hAnsi="Times New Roman" w:cs="Times New Roman"/>
          <w:i/>
          <w:sz w:val="26"/>
          <w:szCs w:val="26"/>
        </w:rPr>
        <w:t>E.g., Alvarez v. Royal Atl. Developers, Inc.</w:t>
      </w:r>
      <w:r w:rsidRPr="00A9462E">
        <w:rPr>
          <w:rFonts w:ascii="Times New Roman" w:hAnsi="Times New Roman" w:cs="Times New Roman"/>
          <w:sz w:val="26"/>
          <w:szCs w:val="26"/>
        </w:rPr>
        <w:t>, 610 F.3d 1253, 1264 (11</w:t>
      </w:r>
      <w:r w:rsidRPr="000C052D">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2010).</w:t>
      </w:r>
      <w:proofErr w:type="gramEnd"/>
      <w:r w:rsidRPr="00A9462E">
        <w:rPr>
          <w:rFonts w:ascii="Times New Roman" w:hAnsi="Times New Roman" w:cs="Times New Roman"/>
          <w:sz w:val="26"/>
          <w:szCs w:val="26"/>
        </w:rPr>
        <w:t xml:space="preserve"> Once the plaintiff has made a prima facie case, the employer may articulate a legitimate nondiscriminatory reason for its action. </w:t>
      </w:r>
      <w:r w:rsidRPr="009E3471">
        <w:rPr>
          <w:rFonts w:ascii="Times New Roman" w:hAnsi="Times New Roman" w:cs="Times New Roman"/>
          <w:i/>
          <w:sz w:val="26"/>
          <w:szCs w:val="26"/>
        </w:rPr>
        <w:t>Id</w:t>
      </w:r>
      <w:r w:rsidRPr="00A9462E">
        <w:rPr>
          <w:rFonts w:ascii="Times New Roman" w:hAnsi="Times New Roman" w:cs="Times New Roman"/>
          <w:sz w:val="26"/>
          <w:szCs w:val="26"/>
        </w:rPr>
        <w:t xml:space="preserve">. If the employer articulates a legitimate nondiscriminatory reason, then the plaintiff must produce evidence that the employer’s proffered reason is pretext for discrimination. </w:t>
      </w:r>
      <w:r w:rsidRPr="009E3471">
        <w:rPr>
          <w:rFonts w:ascii="Times New Roman" w:hAnsi="Times New Roman" w:cs="Times New Roman"/>
          <w:i/>
          <w:sz w:val="26"/>
          <w:szCs w:val="26"/>
        </w:rPr>
        <w:t>Id</w:t>
      </w:r>
      <w:r w:rsidRPr="00A9462E">
        <w:rPr>
          <w:rFonts w:ascii="Times New Roman" w:hAnsi="Times New Roman" w:cs="Times New Roman"/>
          <w:sz w:val="26"/>
          <w:szCs w:val="26"/>
        </w:rPr>
        <w:t xml:space="preserve">. “The plaintiff can show pretext ‘either directly by persuading the court that a discriminatory reason more likely motivated the employer or indirectly by showing that the employer’s proffered explanation is unworthy of credence.’” </w:t>
      </w:r>
      <w:proofErr w:type="spellStart"/>
      <w:proofErr w:type="gramStart"/>
      <w:r w:rsidRPr="009E3471">
        <w:rPr>
          <w:rFonts w:ascii="Times New Roman" w:hAnsi="Times New Roman" w:cs="Times New Roman"/>
          <w:i/>
          <w:sz w:val="26"/>
          <w:szCs w:val="26"/>
        </w:rPr>
        <w:t>Kragor</w:t>
      </w:r>
      <w:proofErr w:type="spellEnd"/>
      <w:r w:rsidRPr="009E3471">
        <w:rPr>
          <w:rFonts w:ascii="Times New Roman" w:hAnsi="Times New Roman" w:cs="Times New Roman"/>
          <w:i/>
          <w:sz w:val="26"/>
          <w:szCs w:val="26"/>
        </w:rPr>
        <w:t xml:space="preserve"> v. Takeda Pharms.</w:t>
      </w:r>
      <w:proofErr w:type="gramEnd"/>
      <w:r w:rsidRPr="009E3471">
        <w:rPr>
          <w:rFonts w:ascii="Times New Roman" w:hAnsi="Times New Roman" w:cs="Times New Roman"/>
          <w:i/>
          <w:sz w:val="26"/>
          <w:szCs w:val="26"/>
        </w:rPr>
        <w:t xml:space="preserve"> Am., Inc.</w:t>
      </w:r>
      <w:r w:rsidRPr="00A9462E">
        <w:rPr>
          <w:rFonts w:ascii="Times New Roman" w:hAnsi="Times New Roman" w:cs="Times New Roman"/>
          <w:sz w:val="26"/>
          <w:szCs w:val="26"/>
        </w:rPr>
        <w:t>, 702 F.3d 1304, 1308 (11</w:t>
      </w:r>
      <w:r w:rsidRPr="000C052D">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 xml:space="preserve">Cir. 2012) (quoting </w:t>
      </w:r>
      <w:r w:rsidRPr="009E3471">
        <w:rPr>
          <w:rFonts w:ascii="Times New Roman" w:hAnsi="Times New Roman" w:cs="Times New Roman"/>
          <w:i/>
          <w:sz w:val="26"/>
          <w:szCs w:val="26"/>
        </w:rPr>
        <w:t xml:space="preserve">Tex. Dep’t of </w:t>
      </w:r>
      <w:proofErr w:type="spellStart"/>
      <w:r w:rsidRPr="009E3471">
        <w:rPr>
          <w:rFonts w:ascii="Times New Roman" w:hAnsi="Times New Roman" w:cs="Times New Roman"/>
          <w:i/>
          <w:sz w:val="26"/>
          <w:szCs w:val="26"/>
        </w:rPr>
        <w:t>Cmty</w:t>
      </w:r>
      <w:proofErr w:type="spellEnd"/>
      <w:r w:rsidRPr="009E3471">
        <w:rPr>
          <w:rFonts w:ascii="Times New Roman" w:hAnsi="Times New Roman" w:cs="Times New Roman"/>
          <w:i/>
          <w:sz w:val="26"/>
          <w:szCs w:val="26"/>
        </w:rPr>
        <w:t xml:space="preserve">. </w:t>
      </w:r>
      <w:proofErr w:type="gramStart"/>
      <w:r w:rsidRPr="009E3471">
        <w:rPr>
          <w:rFonts w:ascii="Times New Roman" w:hAnsi="Times New Roman" w:cs="Times New Roman"/>
          <w:i/>
          <w:sz w:val="26"/>
          <w:szCs w:val="26"/>
        </w:rPr>
        <w:t xml:space="preserve">Affairs v. </w:t>
      </w:r>
      <w:proofErr w:type="spellStart"/>
      <w:r w:rsidRPr="009E3471">
        <w:rPr>
          <w:rFonts w:ascii="Times New Roman" w:hAnsi="Times New Roman" w:cs="Times New Roman"/>
          <w:i/>
          <w:sz w:val="26"/>
          <w:szCs w:val="26"/>
        </w:rPr>
        <w:t>Burdine</w:t>
      </w:r>
      <w:proofErr w:type="spellEnd"/>
      <w:r w:rsidRPr="00A9462E">
        <w:rPr>
          <w:rFonts w:ascii="Times New Roman" w:hAnsi="Times New Roman" w:cs="Times New Roman"/>
          <w:sz w:val="26"/>
          <w:szCs w:val="26"/>
        </w:rPr>
        <w:t>, 450 U.S. 248, 256 (1981)).</w:t>
      </w:r>
      <w:proofErr w:type="gramEnd"/>
      <w:r w:rsidRPr="00A9462E">
        <w:rPr>
          <w:rFonts w:ascii="Times New Roman" w:hAnsi="Times New Roman" w:cs="Times New Roman"/>
          <w:sz w:val="26"/>
          <w:szCs w:val="26"/>
        </w:rPr>
        <w:t xml:space="preserve"> If the </w:t>
      </w:r>
      <w:proofErr w:type="spellStart"/>
      <w:r w:rsidRPr="00A9462E">
        <w:rPr>
          <w:rFonts w:ascii="Times New Roman" w:hAnsi="Times New Roman" w:cs="Times New Roman"/>
          <w:sz w:val="26"/>
          <w:szCs w:val="26"/>
        </w:rPr>
        <w:t>decisionmaker’s</w:t>
      </w:r>
      <w:proofErr w:type="spellEnd"/>
      <w:r w:rsidRPr="00A9462E">
        <w:rPr>
          <w:rFonts w:ascii="Times New Roman" w:hAnsi="Times New Roman" w:cs="Times New Roman"/>
          <w:sz w:val="26"/>
          <w:szCs w:val="26"/>
        </w:rPr>
        <w:t xml:space="preserve"> statements can be interpreted as an admission that the proffered reason was a cover-up for discrimination, for example, then a jury may consider the statement and decide whether discrimination was the real reason for the employer’s decision. </w:t>
      </w:r>
      <w:r w:rsidRPr="009E3471">
        <w:rPr>
          <w:rFonts w:ascii="Times New Roman" w:hAnsi="Times New Roman" w:cs="Times New Roman"/>
          <w:i/>
          <w:sz w:val="26"/>
          <w:szCs w:val="26"/>
        </w:rPr>
        <w:t>Id</w:t>
      </w:r>
      <w:r w:rsidRPr="00A9462E">
        <w:rPr>
          <w:rFonts w:ascii="Times New Roman" w:hAnsi="Times New Roman" w:cs="Times New Roman"/>
          <w:sz w:val="26"/>
          <w:szCs w:val="26"/>
        </w:rPr>
        <w:t>. at 1308-09.</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The Eleventh Circuit has concluded that “it is unnecessary and inappropriate to instruct the jury on the </w:t>
      </w:r>
      <w:r w:rsidRPr="009E3471">
        <w:rPr>
          <w:rFonts w:ascii="Times New Roman" w:hAnsi="Times New Roman" w:cs="Times New Roman"/>
          <w:i/>
          <w:sz w:val="26"/>
          <w:szCs w:val="26"/>
        </w:rPr>
        <w:t>McDonnell Douglas</w:t>
      </w:r>
      <w:r w:rsidRPr="00A9462E">
        <w:rPr>
          <w:rFonts w:ascii="Times New Roman" w:hAnsi="Times New Roman" w:cs="Times New Roman"/>
          <w:sz w:val="26"/>
          <w:szCs w:val="26"/>
        </w:rPr>
        <w:t xml:space="preserve"> analysis” because such an instruction has potential to confuse the jury. </w:t>
      </w:r>
      <w:proofErr w:type="gramStart"/>
      <w:r w:rsidRPr="009E3471">
        <w:rPr>
          <w:rFonts w:ascii="Times New Roman" w:hAnsi="Times New Roman" w:cs="Times New Roman"/>
          <w:i/>
          <w:sz w:val="26"/>
          <w:szCs w:val="26"/>
        </w:rPr>
        <w:t>Dudley v. Wal-Mart Stores, Inc.</w:t>
      </w:r>
      <w:r w:rsidRPr="00A9462E">
        <w:rPr>
          <w:rFonts w:ascii="Times New Roman" w:hAnsi="Times New Roman" w:cs="Times New Roman"/>
          <w:sz w:val="26"/>
          <w:szCs w:val="26"/>
        </w:rPr>
        <w:t>, 166 F.3d 1317, 1322 (11</w:t>
      </w:r>
      <w:r w:rsidRPr="000C052D">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1999).</w:t>
      </w:r>
      <w:proofErr w:type="gramEnd"/>
      <w:r w:rsidRPr="00A9462E">
        <w:rPr>
          <w:rFonts w:ascii="Times New Roman" w:hAnsi="Times New Roman" w:cs="Times New Roman"/>
          <w:sz w:val="26"/>
          <w:szCs w:val="26"/>
        </w:rPr>
        <w:t xml:space="preserve"> Nonetheless, it is not error to instruct a jury that one way a plaintiff may show intentional discrimination is by showing that the employer’s stated reasons for its actions were not true and were instead pretext or cover to hide discrimination. </w:t>
      </w:r>
      <w:proofErr w:type="gramStart"/>
      <w:r w:rsidRPr="009E3471">
        <w:rPr>
          <w:rFonts w:ascii="Times New Roman" w:hAnsi="Times New Roman" w:cs="Times New Roman"/>
          <w:i/>
          <w:sz w:val="26"/>
          <w:szCs w:val="26"/>
        </w:rPr>
        <w:t>Palmer v. Bd. of Regents of Univ. Sys.</w:t>
      </w:r>
      <w:proofErr w:type="gramEnd"/>
      <w:r w:rsidRPr="009E3471">
        <w:rPr>
          <w:rFonts w:ascii="Times New Roman" w:hAnsi="Times New Roman" w:cs="Times New Roman"/>
          <w:i/>
          <w:sz w:val="26"/>
          <w:szCs w:val="26"/>
        </w:rPr>
        <w:t xml:space="preserve"> </w:t>
      </w:r>
      <w:proofErr w:type="gramStart"/>
      <w:r w:rsidRPr="009E3471">
        <w:rPr>
          <w:rFonts w:ascii="Times New Roman" w:hAnsi="Times New Roman" w:cs="Times New Roman"/>
          <w:i/>
          <w:sz w:val="26"/>
          <w:szCs w:val="26"/>
        </w:rPr>
        <w:t>of</w:t>
      </w:r>
      <w:proofErr w:type="gramEnd"/>
      <w:r w:rsidRPr="009E3471">
        <w:rPr>
          <w:rFonts w:ascii="Times New Roman" w:hAnsi="Times New Roman" w:cs="Times New Roman"/>
          <w:i/>
          <w:sz w:val="26"/>
          <w:szCs w:val="26"/>
        </w:rPr>
        <w:t xml:space="preserve"> Ga.</w:t>
      </w:r>
      <w:r w:rsidRPr="00A9462E">
        <w:rPr>
          <w:rFonts w:ascii="Times New Roman" w:hAnsi="Times New Roman" w:cs="Times New Roman"/>
          <w:sz w:val="26"/>
          <w:szCs w:val="26"/>
        </w:rPr>
        <w:t>, 208 F.3d 969, 974-75 (11</w:t>
      </w:r>
      <w:r w:rsidRPr="000C052D">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 xml:space="preserve">Cir. 2000). It is also not error to refuse to give a pretext instruction. </w:t>
      </w:r>
      <w:proofErr w:type="gramStart"/>
      <w:r w:rsidRPr="009E3471">
        <w:rPr>
          <w:rFonts w:ascii="Times New Roman" w:hAnsi="Times New Roman" w:cs="Times New Roman"/>
          <w:i/>
          <w:sz w:val="26"/>
          <w:szCs w:val="26"/>
        </w:rPr>
        <w:t>Cleveland v. Home Shopping Network, Inc.</w:t>
      </w:r>
      <w:r w:rsidRPr="00A9462E">
        <w:rPr>
          <w:rFonts w:ascii="Times New Roman" w:hAnsi="Times New Roman" w:cs="Times New Roman"/>
          <w:sz w:val="26"/>
          <w:szCs w:val="26"/>
        </w:rPr>
        <w:t>, 369 F.3d 1189, 1196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2004).</w:t>
      </w:r>
      <w:proofErr w:type="gramEnd"/>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Pattern Instruction 4.5 includes an optional pretext charge, which instructs the jury that it may consider the circumstances of the employer’s decision – including whether the jury believes the employer’s proffered nondiscriminatory reason for its decision – in deciding whether the decision was motivated by a protected trait.</w:t>
      </w:r>
    </w:p>
    <w:p w:rsidR="00A9462E" w:rsidRPr="009E3471" w:rsidRDefault="00A9462E"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4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Pretext (Failure to Promote)</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In a failure to promote or failure to hire case where the defendant has presented evidence of a legitimate nondiscriminatory reason for its decision but there is a question of fact as to the relative qualifications of plaintiff and the comparator, the court may consider adding a special interrogatory on the issue. The Eleventh Circuit stated that “‘a plaintiff cannot prove pretext by simply arguing or even by showing that he was better qualified than the [person] who received the position he coveted. A plaintiff must show not merely that the defendant’s employment decisions were mistaken but that they were in fact motivated by race.’” </w:t>
      </w:r>
      <w:r w:rsidRPr="009E3471">
        <w:rPr>
          <w:rFonts w:ascii="Times New Roman" w:hAnsi="Times New Roman" w:cs="Times New Roman"/>
          <w:i/>
          <w:sz w:val="26"/>
          <w:szCs w:val="26"/>
        </w:rPr>
        <w:t xml:space="preserve">Springer v. Convergys Customer Mgmt. </w:t>
      </w:r>
      <w:proofErr w:type="spellStart"/>
      <w:r w:rsidRPr="009E3471">
        <w:rPr>
          <w:rFonts w:ascii="Times New Roman" w:hAnsi="Times New Roman" w:cs="Times New Roman"/>
          <w:i/>
          <w:sz w:val="26"/>
          <w:szCs w:val="26"/>
        </w:rPr>
        <w:t>Grp</w:t>
      </w:r>
      <w:proofErr w:type="spellEnd"/>
      <w:r w:rsidRPr="009E3471">
        <w:rPr>
          <w:rFonts w:ascii="Times New Roman" w:hAnsi="Times New Roman" w:cs="Times New Roman"/>
          <w:i/>
          <w:sz w:val="26"/>
          <w:szCs w:val="26"/>
        </w:rPr>
        <w:t>. Inc.</w:t>
      </w:r>
      <w:r w:rsidRPr="00A9462E">
        <w:rPr>
          <w:rFonts w:ascii="Times New Roman" w:hAnsi="Times New Roman" w:cs="Times New Roman"/>
          <w:sz w:val="26"/>
          <w:szCs w:val="26"/>
        </w:rPr>
        <w:t>, 509 F.3d 1344, 1349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 xml:space="preserve">Cir. 2007) (per </w:t>
      </w:r>
      <w:proofErr w:type="spellStart"/>
      <w:r w:rsidRPr="00A9462E">
        <w:rPr>
          <w:rFonts w:ascii="Times New Roman" w:hAnsi="Times New Roman" w:cs="Times New Roman"/>
          <w:sz w:val="26"/>
          <w:szCs w:val="26"/>
        </w:rPr>
        <w:t>curiam</w:t>
      </w:r>
      <w:proofErr w:type="spellEnd"/>
      <w:r w:rsidRPr="00A9462E">
        <w:rPr>
          <w:rFonts w:ascii="Times New Roman" w:hAnsi="Times New Roman" w:cs="Times New Roman"/>
          <w:sz w:val="26"/>
          <w:szCs w:val="26"/>
        </w:rPr>
        <w:t xml:space="preserve">) (alteration in original) (quoting </w:t>
      </w:r>
      <w:r w:rsidRPr="009E3471">
        <w:rPr>
          <w:rFonts w:ascii="Times New Roman" w:hAnsi="Times New Roman" w:cs="Times New Roman"/>
          <w:i/>
          <w:sz w:val="26"/>
          <w:szCs w:val="26"/>
        </w:rPr>
        <w:t xml:space="preserve">Brooks v. </w:t>
      </w:r>
      <w:proofErr w:type="spellStart"/>
      <w:r w:rsidRPr="009E3471">
        <w:rPr>
          <w:rFonts w:ascii="Times New Roman" w:hAnsi="Times New Roman" w:cs="Times New Roman"/>
          <w:i/>
          <w:sz w:val="26"/>
          <w:szCs w:val="26"/>
        </w:rPr>
        <w:t>Cnty</w:t>
      </w:r>
      <w:proofErr w:type="spellEnd"/>
      <w:r w:rsidRPr="009E3471">
        <w:rPr>
          <w:rFonts w:ascii="Times New Roman" w:hAnsi="Times New Roman" w:cs="Times New Roman"/>
          <w:i/>
          <w:sz w:val="26"/>
          <w:szCs w:val="26"/>
        </w:rPr>
        <w:t xml:space="preserve">. </w:t>
      </w:r>
      <w:proofErr w:type="spellStart"/>
      <w:proofErr w:type="gramStart"/>
      <w:r w:rsidRPr="009E3471">
        <w:rPr>
          <w:rFonts w:ascii="Times New Roman" w:hAnsi="Times New Roman" w:cs="Times New Roman"/>
          <w:i/>
          <w:sz w:val="26"/>
          <w:szCs w:val="26"/>
        </w:rPr>
        <w:t>Comm’n</w:t>
      </w:r>
      <w:proofErr w:type="spellEnd"/>
      <w:r w:rsidRPr="009E3471">
        <w:rPr>
          <w:rFonts w:ascii="Times New Roman" w:hAnsi="Times New Roman" w:cs="Times New Roman"/>
          <w:i/>
          <w:sz w:val="26"/>
          <w:szCs w:val="26"/>
        </w:rPr>
        <w:t xml:space="preserve"> of Jefferson </w:t>
      </w:r>
      <w:proofErr w:type="spellStart"/>
      <w:r w:rsidRPr="009E3471">
        <w:rPr>
          <w:rFonts w:ascii="Times New Roman" w:hAnsi="Times New Roman" w:cs="Times New Roman"/>
          <w:i/>
          <w:sz w:val="26"/>
          <w:szCs w:val="26"/>
        </w:rPr>
        <w:t>Cnty</w:t>
      </w:r>
      <w:proofErr w:type="spellEnd"/>
      <w:r w:rsidRPr="009E3471">
        <w:rPr>
          <w:rFonts w:ascii="Times New Roman" w:hAnsi="Times New Roman" w:cs="Times New Roman"/>
          <w:i/>
          <w:sz w:val="26"/>
          <w:szCs w:val="26"/>
        </w:rPr>
        <w:t>.</w:t>
      </w:r>
      <w:r w:rsidRPr="00A9462E">
        <w:rPr>
          <w:rFonts w:ascii="Times New Roman" w:hAnsi="Times New Roman" w:cs="Times New Roman"/>
          <w:sz w:val="26"/>
          <w:szCs w:val="26"/>
        </w:rPr>
        <w:t>, 446 F.3d 1160, 1163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2006)).</w:t>
      </w:r>
      <w:proofErr w:type="gramEnd"/>
      <w:r w:rsidRPr="00A9462E">
        <w:rPr>
          <w:rFonts w:ascii="Times New Roman" w:hAnsi="Times New Roman" w:cs="Times New Roman"/>
          <w:sz w:val="26"/>
          <w:szCs w:val="26"/>
        </w:rPr>
        <w:t xml:space="preserve"> Rather, “a plaintiff must show that the disparities between the successful applicant’s and his own qualifications were of such weight and significance that no reasonable person, in the </w:t>
      </w:r>
      <w:r w:rsidRPr="00A9462E">
        <w:rPr>
          <w:rFonts w:ascii="Times New Roman" w:hAnsi="Times New Roman" w:cs="Times New Roman"/>
          <w:sz w:val="26"/>
          <w:szCs w:val="26"/>
        </w:rPr>
        <w:lastRenderedPageBreak/>
        <w:t xml:space="preserve">exercise of impartial judgment, could have chosen the candidate selected over the plaintiff.” </w:t>
      </w:r>
      <w:r w:rsidRPr="009E3471">
        <w:rPr>
          <w:rFonts w:ascii="Times New Roman" w:hAnsi="Times New Roman" w:cs="Times New Roman"/>
          <w:i/>
          <w:sz w:val="26"/>
          <w:szCs w:val="26"/>
        </w:rPr>
        <w:t>Id</w:t>
      </w:r>
      <w:r w:rsidRPr="00A9462E">
        <w:rPr>
          <w:rFonts w:ascii="Times New Roman" w:hAnsi="Times New Roman" w:cs="Times New Roman"/>
          <w:sz w:val="26"/>
          <w:szCs w:val="26"/>
        </w:rPr>
        <w:t>. (internal quotation marks omitted).</w:t>
      </w:r>
    </w:p>
    <w:p w:rsidR="00A9462E" w:rsidRPr="009E3471" w:rsidRDefault="00A9462E"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5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Cat’s Paw</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In </w:t>
      </w:r>
      <w:proofErr w:type="spellStart"/>
      <w:r w:rsidRPr="009E3471">
        <w:rPr>
          <w:rFonts w:ascii="Times New Roman" w:hAnsi="Times New Roman" w:cs="Times New Roman"/>
          <w:i/>
          <w:sz w:val="26"/>
          <w:szCs w:val="26"/>
        </w:rPr>
        <w:t>Staub</w:t>
      </w:r>
      <w:proofErr w:type="spellEnd"/>
      <w:r w:rsidRPr="009E3471">
        <w:rPr>
          <w:rFonts w:ascii="Times New Roman" w:hAnsi="Times New Roman" w:cs="Times New Roman"/>
          <w:i/>
          <w:sz w:val="26"/>
          <w:szCs w:val="26"/>
        </w:rPr>
        <w:t xml:space="preserve"> v. Proctor Hospital</w:t>
      </w:r>
      <w:r w:rsidRPr="00A9462E">
        <w:rPr>
          <w:rFonts w:ascii="Times New Roman" w:hAnsi="Times New Roman" w:cs="Times New Roman"/>
          <w:sz w:val="26"/>
          <w:szCs w:val="26"/>
        </w:rPr>
        <w:t xml:space="preserve">, 131 S. Ct. 1186 (2011), the Supreme Court approved a “cat’s paw” theory of causation in the context of a case under the Uniformed Services Employment and Reemployment Rights Act of 1994, 38 U.S.C. § 4301 </w:t>
      </w:r>
      <w:r w:rsidRPr="009E3471">
        <w:rPr>
          <w:rFonts w:ascii="Times New Roman" w:hAnsi="Times New Roman" w:cs="Times New Roman"/>
          <w:i/>
          <w:sz w:val="26"/>
          <w:szCs w:val="26"/>
        </w:rPr>
        <w:t>et seq</w:t>
      </w:r>
      <w:r w:rsidRPr="00A9462E">
        <w:rPr>
          <w:rFonts w:ascii="Times New Roman" w:hAnsi="Times New Roman" w:cs="Times New Roman"/>
          <w:sz w:val="26"/>
          <w:szCs w:val="26"/>
        </w:rPr>
        <w:t xml:space="preserve">. (“USERRA”). In </w:t>
      </w:r>
      <w:proofErr w:type="spellStart"/>
      <w:r w:rsidRPr="009E3471">
        <w:rPr>
          <w:rFonts w:ascii="Times New Roman" w:hAnsi="Times New Roman" w:cs="Times New Roman"/>
          <w:i/>
          <w:sz w:val="26"/>
          <w:szCs w:val="26"/>
        </w:rPr>
        <w:t>Staub</w:t>
      </w:r>
      <w:proofErr w:type="spellEnd"/>
      <w:r w:rsidRPr="00A9462E">
        <w:rPr>
          <w:rFonts w:ascii="Times New Roman" w:hAnsi="Times New Roman" w:cs="Times New Roman"/>
          <w:sz w:val="26"/>
          <w:szCs w:val="26"/>
        </w:rPr>
        <w:t xml:space="preserve">, the plaintiff sought to hold his employer liable for the anti-military animus of his supervisors, who did not make the ultimate decision to fire the plaintiff but did make unfavorable reports that led to the plaintiff’s termination. The Supreme Court held that “if a supervisor performs an act motivated by antimilitary animus that is </w:t>
      </w:r>
      <w:r w:rsidRPr="000C052D">
        <w:rPr>
          <w:rFonts w:ascii="Times New Roman" w:hAnsi="Times New Roman" w:cs="Times New Roman"/>
          <w:i/>
          <w:sz w:val="26"/>
          <w:szCs w:val="26"/>
        </w:rPr>
        <w:t>intended</w:t>
      </w:r>
      <w:r w:rsidRPr="00A9462E">
        <w:rPr>
          <w:rFonts w:ascii="Times New Roman" w:hAnsi="Times New Roman" w:cs="Times New Roman"/>
          <w:sz w:val="26"/>
          <w:szCs w:val="26"/>
        </w:rPr>
        <w:t xml:space="preserve"> by the supervisor to cause an adverse employment action, and if that act is a proximate cause of the ultimate employment action, then the employer is liable under USERRA.” </w:t>
      </w:r>
      <w:r w:rsidRPr="000C052D">
        <w:rPr>
          <w:rFonts w:ascii="Times New Roman" w:hAnsi="Times New Roman" w:cs="Times New Roman"/>
          <w:i/>
          <w:sz w:val="26"/>
          <w:szCs w:val="26"/>
        </w:rPr>
        <w:t>Id</w:t>
      </w:r>
      <w:r w:rsidRPr="00A9462E">
        <w:rPr>
          <w:rFonts w:ascii="Times New Roman" w:hAnsi="Times New Roman" w:cs="Times New Roman"/>
          <w:sz w:val="26"/>
          <w:szCs w:val="26"/>
        </w:rPr>
        <w:t xml:space="preserve">. at 1194 (reversing Seventh Circuit’s grant of judgment as a matter of law for employer because Seventh Circuit incorrectly required </w:t>
      </w:r>
      <w:proofErr w:type="spellStart"/>
      <w:r w:rsidRPr="00A9462E">
        <w:rPr>
          <w:rFonts w:ascii="Times New Roman" w:hAnsi="Times New Roman" w:cs="Times New Roman"/>
          <w:sz w:val="26"/>
          <w:szCs w:val="26"/>
        </w:rPr>
        <w:t>decisionmaker</w:t>
      </w:r>
      <w:proofErr w:type="spellEnd"/>
      <w:r w:rsidRPr="00A9462E">
        <w:rPr>
          <w:rFonts w:ascii="Times New Roman" w:hAnsi="Times New Roman" w:cs="Times New Roman"/>
          <w:sz w:val="26"/>
          <w:szCs w:val="26"/>
        </w:rPr>
        <w:t xml:space="preserve"> to be wholly dependent on advice of supervisors with discriminatory animus; declining to analyze district court’s jury instruction).</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At the time of this publication, there have been no Supreme Court or Eleventh Circuit cases that specifically apply </w:t>
      </w:r>
      <w:proofErr w:type="spellStart"/>
      <w:r w:rsidRPr="000C052D">
        <w:rPr>
          <w:rFonts w:ascii="Times New Roman" w:hAnsi="Times New Roman" w:cs="Times New Roman"/>
          <w:i/>
          <w:sz w:val="26"/>
          <w:szCs w:val="26"/>
        </w:rPr>
        <w:t>Staub</w:t>
      </w:r>
      <w:proofErr w:type="spellEnd"/>
      <w:r w:rsidRPr="00A9462E">
        <w:rPr>
          <w:rFonts w:ascii="Times New Roman" w:hAnsi="Times New Roman" w:cs="Times New Roman"/>
          <w:sz w:val="26"/>
          <w:szCs w:val="26"/>
        </w:rPr>
        <w:t xml:space="preserve"> beyond the USERRA context, but the Committee believes that the reasoning of </w:t>
      </w:r>
      <w:proofErr w:type="spellStart"/>
      <w:r w:rsidRPr="000C052D">
        <w:rPr>
          <w:rFonts w:ascii="Times New Roman" w:hAnsi="Times New Roman" w:cs="Times New Roman"/>
          <w:i/>
          <w:sz w:val="26"/>
          <w:szCs w:val="26"/>
        </w:rPr>
        <w:t>Staub</w:t>
      </w:r>
      <w:proofErr w:type="spellEnd"/>
      <w:r w:rsidRPr="00A9462E">
        <w:rPr>
          <w:rFonts w:ascii="Times New Roman" w:hAnsi="Times New Roman" w:cs="Times New Roman"/>
          <w:sz w:val="26"/>
          <w:szCs w:val="26"/>
        </w:rPr>
        <w:t xml:space="preserve"> may apply in cases outside the USERRA context – including Title VII cases. USERRA and Title VII discrimination claims turn on whether the discriminatory animus is a “motivating factor” in the employer’s decision. </w:t>
      </w:r>
      <w:proofErr w:type="gramStart"/>
      <w:r w:rsidRPr="00A9462E">
        <w:rPr>
          <w:rFonts w:ascii="Times New Roman" w:hAnsi="Times New Roman" w:cs="Times New Roman"/>
          <w:sz w:val="26"/>
          <w:szCs w:val="26"/>
        </w:rPr>
        <w:t>38 U.S.C. § 4311</w:t>
      </w:r>
      <w:proofErr w:type="gramEnd"/>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3 </w:instrText>
      </w:r>
      <w:r>
        <w:rPr>
          <w:rFonts w:ascii="Times New Roman" w:hAnsi="Times New Roman" w:cs="Times New Roman"/>
          <w:sz w:val="26"/>
          <w:szCs w:val="26"/>
        </w:rPr>
        <w:fldChar w:fldCharType="end"/>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1 </w:instrText>
      </w:r>
      <w:r>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 42 U.S.C. § 2000e-2</w:t>
      </w:r>
      <w:proofErr w:type="gramEnd"/>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13 </w:instrText>
      </w:r>
      <w:r>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Pattern Instruction 4.5 includes an optional cat’s paw charge that instructs the jury to consider three elements in determining whether plaintiff’s protected trait was a motivating factor in the defendant’s decision. The optional cat’s paw charge is to be used only in cases where the plaintiff claims that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1 </w:instrTex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A9462E">
        <w:rPr>
          <w:rFonts w:ascii="Times New Roman" w:hAnsi="Times New Roman" w:cs="Times New Roman"/>
          <w:sz w:val="26"/>
          <w:szCs w:val="26"/>
        </w:rPr>
        <w:t xml:space="preserve">the employer’s decision was based on the recommendation of the plaintiff’s supervisor and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2 </w:instrTex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A9462E">
        <w:rPr>
          <w:rFonts w:ascii="Times New Roman" w:hAnsi="Times New Roman" w:cs="Times New Roman"/>
          <w:sz w:val="26"/>
          <w:szCs w:val="26"/>
        </w:rPr>
        <w:t>the plaintiff’s protected trait was a motivating factor in the supervisor’s recommendation.</w:t>
      </w:r>
    </w:p>
    <w:p w:rsidR="00A9462E" w:rsidRPr="009E3471" w:rsidRDefault="00A9462E"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t>F. The “Same Decision” Defense</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If the Defendant prevails on a “same decision” defense, the jury should award no compensatory or punitive damages, even though Plaintiff has proven that “race, color, religion, sex or national origin was a motivating factor.” </w:t>
      </w:r>
      <w:r w:rsidRPr="000C052D">
        <w:rPr>
          <w:rFonts w:ascii="Times New Roman" w:hAnsi="Times New Roman" w:cs="Times New Roman"/>
          <w:i/>
          <w:sz w:val="26"/>
          <w:szCs w:val="26"/>
        </w:rPr>
        <w:t>See</w:t>
      </w:r>
      <w:r w:rsidRPr="00A9462E">
        <w:rPr>
          <w:rFonts w:ascii="Times New Roman" w:hAnsi="Times New Roman" w:cs="Times New Roman"/>
          <w:sz w:val="26"/>
          <w:szCs w:val="26"/>
        </w:rPr>
        <w:t xml:space="preserve"> 42 U.S.C. § 2000e-5</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5 \s 7 </w:instrText>
      </w:r>
      <w:r>
        <w:rPr>
          <w:rFonts w:ascii="Times New Roman" w:hAnsi="Times New Roman" w:cs="Times New Roman"/>
          <w:sz w:val="26"/>
          <w:szCs w:val="26"/>
        </w:rPr>
        <w:fldChar w:fldCharType="end"/>
      </w:r>
      <w:r>
        <w:rPr>
          <w:rFonts w:ascii="Times New Roman" w:hAnsi="Times New Roman" w:cs="Times New Roman"/>
          <w:sz w:val="26"/>
          <w:szCs w:val="26"/>
        </w:rPr>
        <w:fldChar w:fldCharType="begin"/>
      </w:r>
      <w:r>
        <w:rPr>
          <w:rFonts w:ascii="Times New Roman" w:hAnsi="Times New Roman" w:cs="Times New Roman"/>
          <w:sz w:val="26"/>
          <w:szCs w:val="26"/>
        </w:rPr>
        <w:instrText xml:space="preserve"> LISTNUM  NumberDefault \l 4 \s 2 </w:instrText>
      </w:r>
      <w:r>
        <w:rPr>
          <w:rFonts w:ascii="Times New Roman" w:hAnsi="Times New Roman" w:cs="Times New Roman"/>
          <w:sz w:val="26"/>
          <w:szCs w:val="26"/>
        </w:rPr>
        <w:fldChar w:fldCharType="end"/>
      </w:r>
      <w:r w:rsidRPr="00A9462E">
        <w:rPr>
          <w:rFonts w:ascii="Times New Roman" w:hAnsi="Times New Roman" w:cs="Times New Roman"/>
          <w:sz w:val="26"/>
          <w:szCs w:val="26"/>
        </w:rPr>
        <w:t xml:space="preserve">(B) (providing that in cases where the employer prevails on the “same decision” defense, the court may grant declaratory relief, </w:t>
      </w:r>
      <w:r w:rsidRPr="000C052D">
        <w:rPr>
          <w:rFonts w:ascii="Times New Roman" w:hAnsi="Times New Roman" w:cs="Times New Roman"/>
          <w:i/>
          <w:sz w:val="26"/>
          <w:szCs w:val="26"/>
        </w:rPr>
        <w:t>limited</w:t>
      </w:r>
      <w:r w:rsidRPr="00A9462E">
        <w:rPr>
          <w:rFonts w:ascii="Times New Roman" w:hAnsi="Times New Roman" w:cs="Times New Roman"/>
          <w:sz w:val="26"/>
          <w:szCs w:val="26"/>
        </w:rPr>
        <w:t xml:space="preserve"> injunctive relief and </w:t>
      </w:r>
      <w:r w:rsidRPr="000C052D">
        <w:rPr>
          <w:rFonts w:ascii="Times New Roman" w:hAnsi="Times New Roman" w:cs="Times New Roman"/>
          <w:i/>
          <w:sz w:val="26"/>
          <w:szCs w:val="26"/>
        </w:rPr>
        <w:t>limited</w:t>
      </w:r>
      <w:r w:rsidRPr="00A9462E">
        <w:rPr>
          <w:rFonts w:ascii="Times New Roman" w:hAnsi="Times New Roman" w:cs="Times New Roman"/>
          <w:sz w:val="26"/>
          <w:szCs w:val="26"/>
        </w:rPr>
        <w:t xml:space="preserve"> attorney’s fees and costs; this is an issue for the court, not the jury). Accordingly, Pattern Instruction 4.5 instructs the jury that it need not consider the issue of damages if it finds in favor of the defendant on this defense.</w:t>
      </w:r>
    </w:p>
    <w:p w:rsidR="00A9462E" w:rsidRPr="009E3471" w:rsidRDefault="00A9462E" w:rsidP="00BB4867">
      <w:pPr>
        <w:spacing w:after="240" w:line="240" w:lineRule="auto"/>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1 \s 3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Remedies</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lastRenderedPageBreak/>
        <w:t>Following the Civil Rights Act of 1991, a prevailing plaintiff in a Title VII action may recover back pay, other past and future pecuniary losses, damages for pain and suffering, punitive damages (except that no punitive damages may be awarded against government agencies or political subdivisions), and reinstatement or front pay.</w:t>
      </w:r>
    </w:p>
    <w:p w:rsidR="00A9462E" w:rsidRPr="009E3471" w:rsidRDefault="00A800E0"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1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w:t>
      </w:r>
      <w:r w:rsidR="00A9462E" w:rsidRPr="009E3471">
        <w:rPr>
          <w:rFonts w:ascii="Times New Roman" w:hAnsi="Times New Roman" w:cs="Times New Roman"/>
          <w:b/>
          <w:sz w:val="26"/>
          <w:szCs w:val="26"/>
        </w:rPr>
        <w:t>Compensatory and Punitive Damages</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The award of compensatory and punitive damages in a Title VII employment discrimination action is governed by 42 U.S.C. § 1981a. </w:t>
      </w:r>
      <w:r w:rsidRPr="000C052D">
        <w:rPr>
          <w:rFonts w:ascii="Times New Roman" w:hAnsi="Times New Roman" w:cs="Times New Roman"/>
          <w:i/>
          <w:sz w:val="26"/>
          <w:szCs w:val="26"/>
        </w:rPr>
        <w:t>See</w:t>
      </w:r>
      <w:r w:rsidRPr="00A9462E">
        <w:rPr>
          <w:rFonts w:ascii="Times New Roman" w:hAnsi="Times New Roman" w:cs="Times New Roman"/>
          <w:sz w:val="26"/>
          <w:szCs w:val="26"/>
        </w:rPr>
        <w:t xml:space="preserve"> 42 U.S.C. §§ 1981a</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1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1 </w:instrText>
      </w:r>
      <w:r w:rsidR="00A800E0">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 xml:space="preserve">, </w:t>
      </w:r>
      <w:proofErr w:type="gramEnd"/>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2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Equitable relief is authorized under 42 U.S.C. § 2000e-5</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7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xml:space="preserve"> and is discussed in more detail below.</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42 U.S.C. § 1981a</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1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1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xml:space="preserve"> authorizes a prevailing plaintiff to receive compensatory damages, which may be awarded for “future pecuniary losses, emotional pain, suffering, inconvenience, mental anguish, loss of enjoyment of life, and other </w:t>
      </w:r>
      <w:proofErr w:type="spellStart"/>
      <w:r w:rsidRPr="00A9462E">
        <w:rPr>
          <w:rFonts w:ascii="Times New Roman" w:hAnsi="Times New Roman" w:cs="Times New Roman"/>
          <w:sz w:val="26"/>
          <w:szCs w:val="26"/>
        </w:rPr>
        <w:t>nonpecuniary</w:t>
      </w:r>
      <w:proofErr w:type="spellEnd"/>
      <w:r w:rsidRPr="00A9462E">
        <w:rPr>
          <w:rFonts w:ascii="Times New Roman" w:hAnsi="Times New Roman" w:cs="Times New Roman"/>
          <w:sz w:val="26"/>
          <w:szCs w:val="26"/>
        </w:rPr>
        <w:t xml:space="preserve"> losses.” </w:t>
      </w:r>
      <w:proofErr w:type="gramStart"/>
      <w:r w:rsidRPr="000C052D">
        <w:rPr>
          <w:rFonts w:ascii="Times New Roman" w:hAnsi="Times New Roman" w:cs="Times New Roman"/>
          <w:i/>
          <w:sz w:val="26"/>
          <w:szCs w:val="26"/>
        </w:rPr>
        <w:t>Id</w:t>
      </w:r>
      <w:r w:rsidRPr="00A9462E">
        <w:rPr>
          <w:rFonts w:ascii="Times New Roman" w:hAnsi="Times New Roman" w:cs="Times New Roman"/>
          <w:sz w:val="26"/>
          <w:szCs w:val="26"/>
        </w:rPr>
        <w:t>. § 1981a</w:t>
      </w:r>
      <w:proofErr w:type="gramEnd"/>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3 </w:instrText>
      </w:r>
      <w:r w:rsidR="00A800E0">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r w:rsidRPr="00A9462E">
        <w:rPr>
          <w:rFonts w:ascii="Times New Roman" w:hAnsi="Times New Roman" w:cs="Times New Roman"/>
          <w:sz w:val="26"/>
          <w:szCs w:val="26"/>
        </w:rPr>
        <w:t xml:space="preserve"> Compensatory damages do not include “</w:t>
      </w:r>
      <w:proofErr w:type="spellStart"/>
      <w:r w:rsidRPr="00A9462E">
        <w:rPr>
          <w:rFonts w:ascii="Times New Roman" w:hAnsi="Times New Roman" w:cs="Times New Roman"/>
          <w:sz w:val="26"/>
          <w:szCs w:val="26"/>
        </w:rPr>
        <w:t>backpay</w:t>
      </w:r>
      <w:proofErr w:type="spellEnd"/>
      <w:r w:rsidRPr="00A9462E">
        <w:rPr>
          <w:rFonts w:ascii="Times New Roman" w:hAnsi="Times New Roman" w:cs="Times New Roman"/>
          <w:sz w:val="26"/>
          <w:szCs w:val="26"/>
        </w:rPr>
        <w:t xml:space="preserve">, interest on </w:t>
      </w:r>
      <w:proofErr w:type="spellStart"/>
      <w:r w:rsidRPr="00A9462E">
        <w:rPr>
          <w:rFonts w:ascii="Times New Roman" w:hAnsi="Times New Roman" w:cs="Times New Roman"/>
          <w:sz w:val="26"/>
          <w:szCs w:val="26"/>
        </w:rPr>
        <w:t>backpay</w:t>
      </w:r>
      <w:proofErr w:type="spellEnd"/>
      <w:r w:rsidRPr="00A9462E">
        <w:rPr>
          <w:rFonts w:ascii="Times New Roman" w:hAnsi="Times New Roman" w:cs="Times New Roman"/>
          <w:sz w:val="26"/>
          <w:szCs w:val="26"/>
        </w:rPr>
        <w:t>, or any other type of relief authorized under” 42 U.S.C. § 2000e-5</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7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Compensatory damages are capped under 42 U.S.C. § 1981a</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3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as discussed in more detail below.</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42 U.S.C. § 1981a</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1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xml:space="preserve"> also authorizes a prevailing plaintiff to receive punitive damages if the plaintiff “demonstrates that the respondent engaged in a discriminatory practice or discriminatory practices with malice or with reckless indifference to the federally protected rights of an aggrieved individual.” Punitive damages are not available against “a government, government agency or political subdivision.” </w:t>
      </w:r>
      <w:proofErr w:type="gramStart"/>
      <w:r w:rsidRPr="000C052D">
        <w:rPr>
          <w:rFonts w:ascii="Times New Roman" w:hAnsi="Times New Roman" w:cs="Times New Roman"/>
          <w:i/>
          <w:sz w:val="26"/>
          <w:szCs w:val="26"/>
        </w:rPr>
        <w:t>Id</w:t>
      </w:r>
      <w:r w:rsidRPr="00A9462E">
        <w:rPr>
          <w:rFonts w:ascii="Times New Roman" w:hAnsi="Times New Roman" w:cs="Times New Roman"/>
          <w:sz w:val="26"/>
          <w:szCs w:val="26"/>
        </w:rPr>
        <w:t>. § 1981a</w:t>
      </w:r>
      <w:proofErr w:type="gramEnd"/>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1 </w:instrText>
      </w:r>
      <w:r w:rsidR="00A800E0">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Pattern Instruction 4.5 instructs the jury on the definitions of “malice” and “reckless indifference.” </w:t>
      </w:r>
      <w:r w:rsidRPr="000C052D">
        <w:rPr>
          <w:rFonts w:ascii="Times New Roman" w:hAnsi="Times New Roman" w:cs="Times New Roman"/>
          <w:i/>
          <w:sz w:val="26"/>
          <w:szCs w:val="26"/>
        </w:rPr>
        <w:t xml:space="preserve">See Goldsmith v. </w:t>
      </w:r>
      <w:proofErr w:type="spellStart"/>
      <w:r w:rsidRPr="000C052D">
        <w:rPr>
          <w:rFonts w:ascii="Times New Roman" w:hAnsi="Times New Roman" w:cs="Times New Roman"/>
          <w:i/>
          <w:sz w:val="26"/>
          <w:szCs w:val="26"/>
        </w:rPr>
        <w:t>Bagby</w:t>
      </w:r>
      <w:proofErr w:type="spellEnd"/>
      <w:r w:rsidRPr="000C052D">
        <w:rPr>
          <w:rFonts w:ascii="Times New Roman" w:hAnsi="Times New Roman" w:cs="Times New Roman"/>
          <w:i/>
          <w:sz w:val="26"/>
          <w:szCs w:val="26"/>
        </w:rPr>
        <w:t xml:space="preserve"> Elevator Co.</w:t>
      </w:r>
      <w:r w:rsidRPr="00A9462E">
        <w:rPr>
          <w:rFonts w:ascii="Times New Roman" w:hAnsi="Times New Roman" w:cs="Times New Roman"/>
          <w:sz w:val="26"/>
          <w:szCs w:val="26"/>
        </w:rPr>
        <w:t>, 513 F.3d 1261, 1280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2008) (“Malice or reckless indifference is established by a showing that the employer discriminated in the face of the knowledge that its actions would violate federal law.”) (</w:t>
      </w:r>
      <w:proofErr w:type="gramStart"/>
      <w:r w:rsidRPr="00A9462E">
        <w:rPr>
          <w:rFonts w:ascii="Times New Roman" w:hAnsi="Times New Roman" w:cs="Times New Roman"/>
          <w:sz w:val="26"/>
          <w:szCs w:val="26"/>
        </w:rPr>
        <w:t>internal</w:t>
      </w:r>
      <w:proofErr w:type="gramEnd"/>
      <w:r w:rsidRPr="00A9462E">
        <w:rPr>
          <w:rFonts w:ascii="Times New Roman" w:hAnsi="Times New Roman" w:cs="Times New Roman"/>
          <w:sz w:val="26"/>
          <w:szCs w:val="26"/>
        </w:rPr>
        <w:t xml:space="preserve"> quotation marks omitted). Examples of conduct that could support a punitive damages award include: “‘</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1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t xml:space="preserve"> </w:t>
      </w:r>
      <w:r w:rsidRPr="00A9462E">
        <w:rPr>
          <w:rFonts w:ascii="Times New Roman" w:hAnsi="Times New Roman" w:cs="Times New Roman"/>
          <w:sz w:val="26"/>
          <w:szCs w:val="26"/>
        </w:rPr>
        <w:t xml:space="preserve">a pattern of discrimination, </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t xml:space="preserve"> </w:t>
      </w:r>
      <w:r w:rsidRPr="00A9462E">
        <w:rPr>
          <w:rFonts w:ascii="Times New Roman" w:hAnsi="Times New Roman" w:cs="Times New Roman"/>
          <w:sz w:val="26"/>
          <w:szCs w:val="26"/>
        </w:rPr>
        <w:t xml:space="preserve">spite or malevolence, or </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3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xml:space="preserve"> a blatant disregard for civil obligations.’” </w:t>
      </w:r>
      <w:proofErr w:type="gramStart"/>
      <w:r w:rsidRPr="000C052D">
        <w:rPr>
          <w:rFonts w:ascii="Times New Roman" w:hAnsi="Times New Roman" w:cs="Times New Roman"/>
          <w:i/>
          <w:sz w:val="26"/>
          <w:szCs w:val="26"/>
        </w:rPr>
        <w:t>Id</w:t>
      </w:r>
      <w:r w:rsidRPr="00A9462E">
        <w:rPr>
          <w:rFonts w:ascii="Times New Roman" w:hAnsi="Times New Roman" w:cs="Times New Roman"/>
          <w:sz w:val="26"/>
          <w:szCs w:val="26"/>
        </w:rPr>
        <w:t xml:space="preserve">. (quoting </w:t>
      </w:r>
      <w:r w:rsidRPr="000C052D">
        <w:rPr>
          <w:rFonts w:ascii="Times New Roman" w:hAnsi="Times New Roman" w:cs="Times New Roman"/>
          <w:i/>
          <w:sz w:val="26"/>
          <w:szCs w:val="26"/>
        </w:rPr>
        <w:t>Dudley v. Wal-Mart Stores, Inc.</w:t>
      </w:r>
      <w:r w:rsidRPr="00A9462E">
        <w:rPr>
          <w:rFonts w:ascii="Times New Roman" w:hAnsi="Times New Roman" w:cs="Times New Roman"/>
          <w:sz w:val="26"/>
          <w:szCs w:val="26"/>
        </w:rPr>
        <w:t>, 166 F.3d 1317, 1322-23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1999)).</w:t>
      </w:r>
      <w:proofErr w:type="gramEnd"/>
      <w:r w:rsidRPr="00A9462E">
        <w:rPr>
          <w:rFonts w:ascii="Times New Roman" w:hAnsi="Times New Roman" w:cs="Times New Roman"/>
          <w:sz w:val="26"/>
          <w:szCs w:val="26"/>
        </w:rPr>
        <w:t xml:space="preserve"> The mere fact that an employer has an anti-discrimination policy will not insulate the employer from punitive damages; if the employer’s policy is not enforced, the jury could conclude that the employer did not attempt “good faith compliance with the civil rights laws.” </w:t>
      </w:r>
      <w:r w:rsidRPr="000C052D">
        <w:rPr>
          <w:rFonts w:ascii="Times New Roman" w:hAnsi="Times New Roman" w:cs="Times New Roman"/>
          <w:i/>
          <w:sz w:val="26"/>
          <w:szCs w:val="26"/>
        </w:rPr>
        <w:t>Id</w:t>
      </w:r>
      <w:r w:rsidRPr="00A9462E">
        <w:rPr>
          <w:rFonts w:ascii="Times New Roman" w:hAnsi="Times New Roman" w:cs="Times New Roman"/>
          <w:sz w:val="26"/>
          <w:szCs w:val="26"/>
        </w:rPr>
        <w:t>. at 1281-82.</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Pattern Instruction 4.5 also instructs the jury on who must have knowledge of the violations for punitive damages to be assessed against the employer. In the Eleventh Circuit, “punitive damages will ordinarily not be assessed against employers with only constructive knowledge” of the violations. </w:t>
      </w:r>
      <w:r w:rsidRPr="000C052D">
        <w:rPr>
          <w:rFonts w:ascii="Times New Roman" w:hAnsi="Times New Roman" w:cs="Times New Roman"/>
          <w:i/>
          <w:sz w:val="26"/>
          <w:szCs w:val="26"/>
        </w:rPr>
        <w:t xml:space="preserve">Miller v. </w:t>
      </w:r>
      <w:proofErr w:type="spellStart"/>
      <w:r w:rsidRPr="000C052D">
        <w:rPr>
          <w:rFonts w:ascii="Times New Roman" w:hAnsi="Times New Roman" w:cs="Times New Roman"/>
          <w:i/>
          <w:sz w:val="26"/>
          <w:szCs w:val="26"/>
        </w:rPr>
        <w:t>Kenworth</w:t>
      </w:r>
      <w:proofErr w:type="spellEnd"/>
      <w:r w:rsidRPr="000C052D">
        <w:rPr>
          <w:rFonts w:ascii="Times New Roman" w:hAnsi="Times New Roman" w:cs="Times New Roman"/>
          <w:i/>
          <w:sz w:val="26"/>
          <w:szCs w:val="26"/>
        </w:rPr>
        <w:t xml:space="preserve"> of Dothan, Inc.</w:t>
      </w:r>
      <w:r w:rsidRPr="00A9462E">
        <w:rPr>
          <w:rFonts w:ascii="Times New Roman" w:hAnsi="Times New Roman" w:cs="Times New Roman"/>
          <w:sz w:val="26"/>
          <w:szCs w:val="26"/>
        </w:rPr>
        <w:t>, 277 F.3d 1269, 1279-80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 xml:space="preserve">Cir. 2002); </w:t>
      </w:r>
      <w:r w:rsidRPr="000C052D">
        <w:rPr>
          <w:rFonts w:ascii="Times New Roman" w:hAnsi="Times New Roman" w:cs="Times New Roman"/>
          <w:i/>
          <w:sz w:val="26"/>
          <w:szCs w:val="26"/>
        </w:rPr>
        <w:t xml:space="preserve">accord </w:t>
      </w:r>
      <w:proofErr w:type="spellStart"/>
      <w:r w:rsidRPr="000C052D">
        <w:rPr>
          <w:rFonts w:ascii="Times New Roman" w:hAnsi="Times New Roman" w:cs="Times New Roman"/>
          <w:i/>
          <w:sz w:val="26"/>
          <w:szCs w:val="26"/>
        </w:rPr>
        <w:t>Splunge</w:t>
      </w:r>
      <w:proofErr w:type="spellEnd"/>
      <w:r w:rsidRPr="000C052D">
        <w:rPr>
          <w:rFonts w:ascii="Times New Roman" w:hAnsi="Times New Roman" w:cs="Times New Roman"/>
          <w:i/>
          <w:sz w:val="26"/>
          <w:szCs w:val="26"/>
        </w:rPr>
        <w:t xml:space="preserve"> v. Shoney’s Inc.</w:t>
      </w:r>
      <w:r w:rsidRPr="00A9462E">
        <w:rPr>
          <w:rFonts w:ascii="Times New Roman" w:hAnsi="Times New Roman" w:cs="Times New Roman"/>
          <w:sz w:val="26"/>
          <w:szCs w:val="26"/>
        </w:rPr>
        <w:t>, 97 F.3d 488, 491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 xml:space="preserve">Cir. 1996). To get punitive damages, a Title VII plaintiff must “impute liability for punitive damages to” the employer. </w:t>
      </w:r>
      <w:proofErr w:type="spellStart"/>
      <w:proofErr w:type="gramStart"/>
      <w:r w:rsidRPr="000C052D">
        <w:rPr>
          <w:rFonts w:ascii="Times New Roman" w:hAnsi="Times New Roman" w:cs="Times New Roman"/>
          <w:i/>
          <w:sz w:val="26"/>
          <w:szCs w:val="26"/>
        </w:rPr>
        <w:t>Kolstad</w:t>
      </w:r>
      <w:proofErr w:type="spellEnd"/>
      <w:r w:rsidRPr="000C052D">
        <w:rPr>
          <w:rFonts w:ascii="Times New Roman" w:hAnsi="Times New Roman" w:cs="Times New Roman"/>
          <w:i/>
          <w:sz w:val="26"/>
          <w:szCs w:val="26"/>
        </w:rPr>
        <w:t xml:space="preserve"> v. Am. Dental </w:t>
      </w:r>
      <w:proofErr w:type="spellStart"/>
      <w:r w:rsidRPr="000C052D">
        <w:rPr>
          <w:rFonts w:ascii="Times New Roman" w:hAnsi="Times New Roman" w:cs="Times New Roman"/>
          <w:i/>
          <w:sz w:val="26"/>
          <w:szCs w:val="26"/>
        </w:rPr>
        <w:t>Ass’n</w:t>
      </w:r>
      <w:proofErr w:type="spellEnd"/>
      <w:r w:rsidRPr="00A9462E">
        <w:rPr>
          <w:rFonts w:ascii="Times New Roman" w:hAnsi="Times New Roman" w:cs="Times New Roman"/>
          <w:sz w:val="26"/>
          <w:szCs w:val="26"/>
        </w:rPr>
        <w:t>, 527 U.S. 526, 539 (1999).</w:t>
      </w:r>
      <w:proofErr w:type="gramEnd"/>
      <w:r w:rsidRPr="00A9462E">
        <w:rPr>
          <w:rFonts w:ascii="Times New Roman" w:hAnsi="Times New Roman" w:cs="Times New Roman"/>
          <w:sz w:val="26"/>
          <w:szCs w:val="26"/>
        </w:rPr>
        <w:t xml:space="preserve"> To do this, the plaintiff may establish that an employee of the defendant acting in </w:t>
      </w:r>
      <w:r w:rsidRPr="00A9462E">
        <w:rPr>
          <w:rFonts w:ascii="Times New Roman" w:hAnsi="Times New Roman" w:cs="Times New Roman"/>
          <w:sz w:val="26"/>
          <w:szCs w:val="26"/>
        </w:rPr>
        <w:lastRenderedPageBreak/>
        <w:t xml:space="preserve">a “managerial capacity” acted with malice or reckless indifference to the plaintiff’s federally protected rights. </w:t>
      </w:r>
      <w:proofErr w:type="gramStart"/>
      <w:r w:rsidRPr="000C052D">
        <w:rPr>
          <w:rFonts w:ascii="Times New Roman" w:hAnsi="Times New Roman" w:cs="Times New Roman"/>
          <w:i/>
          <w:sz w:val="26"/>
          <w:szCs w:val="26"/>
        </w:rPr>
        <w:t>Id</w:t>
      </w:r>
      <w:r w:rsidRPr="00A9462E">
        <w:rPr>
          <w:rFonts w:ascii="Times New Roman" w:hAnsi="Times New Roman" w:cs="Times New Roman"/>
          <w:sz w:val="26"/>
          <w:szCs w:val="26"/>
        </w:rPr>
        <w:t>. at 543, 545-46.</w:t>
      </w:r>
      <w:proofErr w:type="gramEnd"/>
      <w:r w:rsidRPr="00A9462E">
        <w:rPr>
          <w:rFonts w:ascii="Times New Roman" w:hAnsi="Times New Roman" w:cs="Times New Roman"/>
          <w:sz w:val="26"/>
          <w:szCs w:val="26"/>
        </w:rPr>
        <w:t xml:space="preserve"> Though the Supreme Court did not define “managerial capacity,” the Court suggested that the employee must be “important, but perhaps need not be the employer’s top management, officers, or directors to be acting in a managerial capacity.” </w:t>
      </w:r>
      <w:proofErr w:type="gramStart"/>
      <w:r w:rsidRPr="000C052D">
        <w:rPr>
          <w:rFonts w:ascii="Times New Roman" w:hAnsi="Times New Roman" w:cs="Times New Roman"/>
          <w:i/>
          <w:sz w:val="26"/>
          <w:szCs w:val="26"/>
        </w:rPr>
        <w:t>Id</w:t>
      </w:r>
      <w:r w:rsidRPr="00A9462E">
        <w:rPr>
          <w:rFonts w:ascii="Times New Roman" w:hAnsi="Times New Roman" w:cs="Times New Roman"/>
          <w:sz w:val="26"/>
          <w:szCs w:val="26"/>
        </w:rPr>
        <w:t>. at 543 (internal quotation marks omitted).</w:t>
      </w:r>
      <w:proofErr w:type="gramEnd"/>
      <w:r w:rsidRPr="00A9462E">
        <w:rPr>
          <w:rFonts w:ascii="Times New Roman" w:hAnsi="Times New Roman" w:cs="Times New Roman"/>
          <w:sz w:val="26"/>
          <w:szCs w:val="26"/>
        </w:rPr>
        <w:t xml:space="preserve"> The Court stated that “determining whether an employee” acts in a “managerial capacity” “requires a fact-intensive inquiry” and listed several factors for the courts to review in making this determination: “the type of authority that the employer has given to the employee, the amount of discretion that the employee has in what is done and how it is accomplished.” </w:t>
      </w:r>
      <w:r w:rsidRPr="000C052D">
        <w:rPr>
          <w:rFonts w:ascii="Times New Roman" w:hAnsi="Times New Roman" w:cs="Times New Roman"/>
          <w:i/>
          <w:sz w:val="26"/>
          <w:szCs w:val="26"/>
        </w:rPr>
        <w:t>Id</w:t>
      </w:r>
      <w:r w:rsidRPr="00A9462E">
        <w:rPr>
          <w:rFonts w:ascii="Times New Roman" w:hAnsi="Times New Roman" w:cs="Times New Roman"/>
          <w:sz w:val="26"/>
          <w:szCs w:val="26"/>
        </w:rPr>
        <w:t xml:space="preserve">. Even after </w:t>
      </w:r>
      <w:proofErr w:type="spellStart"/>
      <w:r w:rsidRPr="000C052D">
        <w:rPr>
          <w:rFonts w:ascii="Times New Roman" w:hAnsi="Times New Roman" w:cs="Times New Roman"/>
          <w:i/>
          <w:sz w:val="26"/>
          <w:szCs w:val="26"/>
        </w:rPr>
        <w:t>Kolstad</w:t>
      </w:r>
      <w:proofErr w:type="spellEnd"/>
      <w:r w:rsidRPr="00A9462E">
        <w:rPr>
          <w:rFonts w:ascii="Times New Roman" w:hAnsi="Times New Roman" w:cs="Times New Roman"/>
          <w:sz w:val="26"/>
          <w:szCs w:val="26"/>
        </w:rPr>
        <w:t xml:space="preserve">, the Eleventh Circuit has continued to require that the conduct be taken or approved by the employer’s “higher management.” </w:t>
      </w:r>
      <w:r w:rsidRPr="000C052D">
        <w:rPr>
          <w:rFonts w:ascii="Times New Roman" w:hAnsi="Times New Roman" w:cs="Times New Roman"/>
          <w:i/>
          <w:sz w:val="26"/>
          <w:szCs w:val="26"/>
        </w:rPr>
        <w:t>Miller</w:t>
      </w:r>
      <w:r w:rsidRPr="00A9462E">
        <w:rPr>
          <w:rFonts w:ascii="Times New Roman" w:hAnsi="Times New Roman" w:cs="Times New Roman"/>
          <w:sz w:val="26"/>
          <w:szCs w:val="26"/>
        </w:rPr>
        <w:t xml:space="preserve">, 277 F.3d at 1280 (citing </w:t>
      </w:r>
      <w:r w:rsidRPr="000C052D">
        <w:rPr>
          <w:rFonts w:ascii="Times New Roman" w:hAnsi="Times New Roman" w:cs="Times New Roman"/>
          <w:i/>
          <w:sz w:val="26"/>
          <w:szCs w:val="26"/>
        </w:rPr>
        <w:t>Dudley</w:t>
      </w:r>
      <w:r w:rsidRPr="00A9462E">
        <w:rPr>
          <w:rFonts w:ascii="Times New Roman" w:hAnsi="Times New Roman" w:cs="Times New Roman"/>
          <w:sz w:val="26"/>
          <w:szCs w:val="26"/>
        </w:rPr>
        <w:t xml:space="preserve">, 166 F.3d at 1323). The </w:t>
      </w:r>
      <w:r w:rsidRPr="000C052D">
        <w:rPr>
          <w:rFonts w:ascii="Times New Roman" w:hAnsi="Times New Roman" w:cs="Times New Roman"/>
          <w:i/>
          <w:sz w:val="26"/>
          <w:szCs w:val="26"/>
        </w:rPr>
        <w:t>Miller</w:t>
      </w:r>
      <w:r w:rsidRPr="00A9462E">
        <w:rPr>
          <w:rFonts w:ascii="Times New Roman" w:hAnsi="Times New Roman" w:cs="Times New Roman"/>
          <w:sz w:val="26"/>
          <w:szCs w:val="26"/>
        </w:rPr>
        <w:t xml:space="preserve"> court did acknowledge that what constitutes “higher management” can vary widely from company to company – while a Wal-Mart store manager who is separated from higher management by many layers may not be higher management, a manager at a small company who is separated from the president of the company by only one person could be considered higher management. </w:t>
      </w:r>
      <w:proofErr w:type="gramStart"/>
      <w:r w:rsidRPr="000C052D">
        <w:rPr>
          <w:rFonts w:ascii="Times New Roman" w:hAnsi="Times New Roman" w:cs="Times New Roman"/>
          <w:i/>
          <w:sz w:val="26"/>
          <w:szCs w:val="26"/>
        </w:rPr>
        <w:t>Id</w:t>
      </w:r>
      <w:r w:rsidRPr="00A9462E">
        <w:rPr>
          <w:rFonts w:ascii="Times New Roman" w:hAnsi="Times New Roman" w:cs="Times New Roman"/>
          <w:sz w:val="26"/>
          <w:szCs w:val="26"/>
        </w:rPr>
        <w:t>. at 1279.</w:t>
      </w:r>
      <w:proofErr w:type="gramEnd"/>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The award of damages is limited by 42 U.S.C. § 1981a</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3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xml:space="preserve">, which provides for a cap on the “sum of the amount of compensatory damages awarded under this section for future pecuniary losses, emotional pain, suffering, inconvenience, mental anguish, loss of enjoyment of life, and other </w:t>
      </w:r>
      <w:proofErr w:type="spellStart"/>
      <w:r w:rsidRPr="00A9462E">
        <w:rPr>
          <w:rFonts w:ascii="Times New Roman" w:hAnsi="Times New Roman" w:cs="Times New Roman"/>
          <w:sz w:val="26"/>
          <w:szCs w:val="26"/>
        </w:rPr>
        <w:t>nonpecuniary</w:t>
      </w:r>
      <w:proofErr w:type="spellEnd"/>
      <w:r w:rsidRPr="00A9462E">
        <w:rPr>
          <w:rFonts w:ascii="Times New Roman" w:hAnsi="Times New Roman" w:cs="Times New Roman"/>
          <w:sz w:val="26"/>
          <w:szCs w:val="26"/>
        </w:rPr>
        <w:t xml:space="preserve"> losses, and the amount of punitive damages awarded under this section.” The damages award shall not exceed, for each plaintiff:</w:t>
      </w:r>
    </w:p>
    <w:p w:rsidR="00A9462E" w:rsidRPr="00A9462E" w:rsidRDefault="00A9462E" w:rsidP="00BB4867">
      <w:pPr>
        <w:spacing w:after="240" w:line="240" w:lineRule="auto"/>
        <w:ind w:left="720" w:right="720" w:firstLine="720"/>
        <w:jc w:val="both"/>
        <w:rPr>
          <w:rFonts w:ascii="Times New Roman" w:hAnsi="Times New Roman" w:cs="Times New Roman"/>
          <w:sz w:val="26"/>
          <w:szCs w:val="26"/>
        </w:rPr>
      </w:pPr>
      <w:r w:rsidRPr="00A9462E">
        <w:rPr>
          <w:rFonts w:ascii="Times New Roman" w:hAnsi="Times New Roman" w:cs="Times New Roman"/>
          <w:sz w:val="26"/>
          <w:szCs w:val="26"/>
        </w:rPr>
        <w:t>(A) in the case of a respondent who has more than 14 and fewer than 101 employees in each of 20 or more calendar weeks in the current or preceding calendar year, $50,000;</w:t>
      </w:r>
    </w:p>
    <w:p w:rsidR="00A9462E" w:rsidRPr="00A9462E" w:rsidRDefault="00A9462E" w:rsidP="00BB4867">
      <w:pPr>
        <w:spacing w:after="240" w:line="240" w:lineRule="auto"/>
        <w:ind w:left="720" w:right="720" w:firstLine="720"/>
        <w:jc w:val="both"/>
        <w:rPr>
          <w:rFonts w:ascii="Times New Roman" w:hAnsi="Times New Roman" w:cs="Times New Roman"/>
          <w:sz w:val="26"/>
          <w:szCs w:val="26"/>
        </w:rPr>
      </w:pPr>
      <w:r w:rsidRPr="00A9462E">
        <w:rPr>
          <w:rFonts w:ascii="Times New Roman" w:hAnsi="Times New Roman" w:cs="Times New Roman"/>
          <w:sz w:val="26"/>
          <w:szCs w:val="26"/>
        </w:rPr>
        <w:t>(B) in the case of a respondent who has more than 100 and fewer than 201 employees in each of 20 or more calendar weeks in the current or preceding calendar year, $100,000; and</w:t>
      </w:r>
    </w:p>
    <w:p w:rsidR="00A9462E" w:rsidRPr="00A9462E" w:rsidRDefault="00A9462E" w:rsidP="00BB4867">
      <w:pPr>
        <w:spacing w:after="240" w:line="240" w:lineRule="auto"/>
        <w:ind w:left="720" w:right="720" w:firstLine="720"/>
        <w:jc w:val="both"/>
        <w:rPr>
          <w:rFonts w:ascii="Times New Roman" w:hAnsi="Times New Roman" w:cs="Times New Roman"/>
          <w:sz w:val="26"/>
          <w:szCs w:val="26"/>
        </w:rPr>
      </w:pPr>
      <w:r w:rsidRPr="00A9462E">
        <w:rPr>
          <w:rFonts w:ascii="Times New Roman" w:hAnsi="Times New Roman" w:cs="Times New Roman"/>
          <w:sz w:val="26"/>
          <w:szCs w:val="26"/>
        </w:rPr>
        <w:t>(C) in the case of a respondent who has more than 200 and fewer than 501 employees in each of 20 or more calendar weeks in the current or preceding calendar year, $200,000; and</w:t>
      </w:r>
    </w:p>
    <w:p w:rsidR="00A9462E" w:rsidRPr="00A9462E" w:rsidRDefault="00A9462E" w:rsidP="00BB4867">
      <w:pPr>
        <w:spacing w:after="240" w:line="240" w:lineRule="auto"/>
        <w:ind w:left="720" w:right="720" w:firstLine="720"/>
        <w:jc w:val="both"/>
        <w:rPr>
          <w:rFonts w:ascii="Times New Roman" w:hAnsi="Times New Roman" w:cs="Times New Roman"/>
          <w:sz w:val="26"/>
          <w:szCs w:val="26"/>
        </w:rPr>
      </w:pPr>
      <w:r w:rsidRPr="00A9462E">
        <w:rPr>
          <w:rFonts w:ascii="Times New Roman" w:hAnsi="Times New Roman" w:cs="Times New Roman"/>
          <w:sz w:val="26"/>
          <w:szCs w:val="26"/>
        </w:rPr>
        <w:t>(D) in the case of a respondent who has more than 500 employees in each of 20 or more calendar weeks in the current or preceding calendar year, $300.000.</w:t>
      </w:r>
    </w:p>
    <w:p w:rsidR="00A9462E" w:rsidRPr="00A9462E" w:rsidRDefault="00A9462E" w:rsidP="00BB4867">
      <w:pPr>
        <w:spacing w:after="240" w:line="240" w:lineRule="auto"/>
        <w:jc w:val="both"/>
        <w:rPr>
          <w:rFonts w:ascii="Times New Roman" w:hAnsi="Times New Roman" w:cs="Times New Roman"/>
          <w:sz w:val="26"/>
          <w:szCs w:val="26"/>
        </w:rPr>
      </w:pPr>
      <w:proofErr w:type="gramStart"/>
      <w:r w:rsidRPr="00A9462E">
        <w:rPr>
          <w:rFonts w:ascii="Times New Roman" w:hAnsi="Times New Roman" w:cs="Times New Roman"/>
          <w:sz w:val="26"/>
          <w:szCs w:val="26"/>
        </w:rPr>
        <w:t>42 U.S.C. § 1981a</w:t>
      </w:r>
      <w:proofErr w:type="gramEnd"/>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3 </w:instrText>
      </w:r>
      <w:r w:rsidR="00A800E0">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A major limitation on the recovery of punitive damages is the Supreme Court’s announcement that few awards exceeding a single digit ratio between punitive and compensatory damages will satisfy due process. </w:t>
      </w:r>
      <w:proofErr w:type="gramStart"/>
      <w:r w:rsidRPr="000C052D">
        <w:rPr>
          <w:rFonts w:ascii="Times New Roman" w:hAnsi="Times New Roman" w:cs="Times New Roman"/>
          <w:i/>
          <w:sz w:val="26"/>
          <w:szCs w:val="26"/>
        </w:rPr>
        <w:t xml:space="preserve">State Farm </w:t>
      </w:r>
      <w:proofErr w:type="spellStart"/>
      <w:r w:rsidRPr="000C052D">
        <w:rPr>
          <w:rFonts w:ascii="Times New Roman" w:hAnsi="Times New Roman" w:cs="Times New Roman"/>
          <w:i/>
          <w:sz w:val="26"/>
          <w:szCs w:val="26"/>
        </w:rPr>
        <w:t>Mut</w:t>
      </w:r>
      <w:proofErr w:type="spellEnd"/>
      <w:r w:rsidRPr="000C052D">
        <w:rPr>
          <w:rFonts w:ascii="Times New Roman" w:hAnsi="Times New Roman" w:cs="Times New Roman"/>
          <w:i/>
          <w:sz w:val="26"/>
          <w:szCs w:val="26"/>
        </w:rPr>
        <w:t>.</w:t>
      </w:r>
      <w:proofErr w:type="gramEnd"/>
      <w:r w:rsidRPr="000C052D">
        <w:rPr>
          <w:rFonts w:ascii="Times New Roman" w:hAnsi="Times New Roman" w:cs="Times New Roman"/>
          <w:i/>
          <w:sz w:val="26"/>
          <w:szCs w:val="26"/>
        </w:rPr>
        <w:t xml:space="preserve"> Auto. Ins. Co. v. Campbell</w:t>
      </w:r>
      <w:r w:rsidRPr="00A9462E">
        <w:rPr>
          <w:rFonts w:ascii="Times New Roman" w:hAnsi="Times New Roman" w:cs="Times New Roman"/>
          <w:sz w:val="26"/>
          <w:szCs w:val="26"/>
        </w:rPr>
        <w:t xml:space="preserve">, 538 U.S. 408, 425 (2003); </w:t>
      </w:r>
      <w:r w:rsidRPr="000C052D">
        <w:rPr>
          <w:rFonts w:ascii="Times New Roman" w:hAnsi="Times New Roman" w:cs="Times New Roman"/>
          <w:i/>
          <w:sz w:val="26"/>
          <w:szCs w:val="26"/>
        </w:rPr>
        <w:t>see also Goldsmith</w:t>
      </w:r>
      <w:r w:rsidRPr="00A9462E">
        <w:rPr>
          <w:rFonts w:ascii="Times New Roman" w:hAnsi="Times New Roman" w:cs="Times New Roman"/>
          <w:sz w:val="26"/>
          <w:szCs w:val="26"/>
        </w:rPr>
        <w:t xml:space="preserve">, 513 F.3d at 1283-84 (discussing </w:t>
      </w:r>
      <w:r w:rsidRPr="000C052D">
        <w:rPr>
          <w:rFonts w:ascii="Times New Roman" w:hAnsi="Times New Roman" w:cs="Times New Roman"/>
          <w:i/>
          <w:sz w:val="26"/>
          <w:szCs w:val="26"/>
        </w:rPr>
        <w:t>Campbell</w:t>
      </w:r>
      <w:r w:rsidRPr="00A9462E">
        <w:rPr>
          <w:rFonts w:ascii="Times New Roman" w:hAnsi="Times New Roman" w:cs="Times New Roman"/>
          <w:sz w:val="26"/>
          <w:szCs w:val="26"/>
        </w:rPr>
        <w:t xml:space="preserve"> and upholding punitive damages award under 42 U.S.C. § 1981 where the ratio of punitive damages to compensatory damages was approximately 9.2 to 1).</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In some cases, a party may bring parallel claims under Title VII and § 1981 or the Equal Protection Clause. Punitive damages are available under 42 U.S.C. § 1981 and 42 U.S.C. § 1983 and are not capped by Title VII’s damages cap. </w:t>
      </w:r>
      <w:r w:rsidRPr="000C052D">
        <w:rPr>
          <w:rFonts w:ascii="Times New Roman" w:hAnsi="Times New Roman" w:cs="Times New Roman"/>
          <w:i/>
          <w:sz w:val="26"/>
          <w:szCs w:val="26"/>
        </w:rPr>
        <w:t>Goldsmith</w:t>
      </w:r>
      <w:r w:rsidRPr="00A9462E">
        <w:rPr>
          <w:rFonts w:ascii="Times New Roman" w:hAnsi="Times New Roman" w:cs="Times New Roman"/>
          <w:sz w:val="26"/>
          <w:szCs w:val="26"/>
        </w:rPr>
        <w:t xml:space="preserve">, 513 F.3d at 1284-85 (upholding punitive damages award of $500,000 where analogous Title VII cap was $100,000); </w:t>
      </w:r>
      <w:proofErr w:type="spellStart"/>
      <w:r w:rsidRPr="000C052D">
        <w:rPr>
          <w:rFonts w:ascii="Times New Roman" w:hAnsi="Times New Roman" w:cs="Times New Roman"/>
          <w:i/>
          <w:sz w:val="26"/>
          <w:szCs w:val="26"/>
        </w:rPr>
        <w:t>Bogle</w:t>
      </w:r>
      <w:proofErr w:type="spellEnd"/>
      <w:r w:rsidRPr="000C052D">
        <w:rPr>
          <w:rFonts w:ascii="Times New Roman" w:hAnsi="Times New Roman" w:cs="Times New Roman"/>
          <w:i/>
          <w:sz w:val="26"/>
          <w:szCs w:val="26"/>
        </w:rPr>
        <w:t xml:space="preserve"> v. McClure</w:t>
      </w:r>
      <w:r w:rsidRPr="00A9462E">
        <w:rPr>
          <w:rFonts w:ascii="Times New Roman" w:hAnsi="Times New Roman" w:cs="Times New Roman"/>
          <w:sz w:val="26"/>
          <w:szCs w:val="26"/>
        </w:rPr>
        <w:t>, 332 F.3d 1347, 1355, 1362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2003) (rejecting argument that Title VII cap should be applied by analogy in cases under 42 U.S.C. § 1983 and upholding award of approximately $17 million where analogous Title VII cap was $300,000).</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If a plaintiff seeks compensatory or punitive damages, either party may demand a trial by jury. </w:t>
      </w:r>
      <w:proofErr w:type="gramStart"/>
      <w:r w:rsidRPr="00A9462E">
        <w:rPr>
          <w:rFonts w:ascii="Times New Roman" w:hAnsi="Times New Roman" w:cs="Times New Roman"/>
          <w:sz w:val="26"/>
          <w:szCs w:val="26"/>
        </w:rPr>
        <w:t>42 U.S.C. § 1981a</w:t>
      </w:r>
      <w:proofErr w:type="gramEnd"/>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3 </w:instrText>
      </w:r>
      <w:r w:rsidR="00A800E0">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r w:rsidRPr="00A9462E">
        <w:rPr>
          <w:rFonts w:ascii="Times New Roman" w:hAnsi="Times New Roman" w:cs="Times New Roman"/>
          <w:sz w:val="26"/>
          <w:szCs w:val="26"/>
        </w:rPr>
        <w:t xml:space="preserve"> Pursuant to this provision, the jury would determine the appropriate amount of compensatory and punitive damages to be awarded (without being instructed of the statutory caps), and the court would then reduce the amount in accordance with the limitations stated in § 1981a if necessary. </w:t>
      </w:r>
      <w:proofErr w:type="gramStart"/>
      <w:r w:rsidRPr="00A9462E">
        <w:rPr>
          <w:rFonts w:ascii="Times New Roman" w:hAnsi="Times New Roman" w:cs="Times New Roman"/>
          <w:sz w:val="26"/>
          <w:szCs w:val="26"/>
        </w:rPr>
        <w:t>42 U.S.C. § 1981a</w:t>
      </w:r>
      <w:proofErr w:type="gramEnd"/>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3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2 </w:instrText>
      </w:r>
      <w:r w:rsidR="00A800E0">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p>
    <w:p w:rsidR="00A9462E" w:rsidRPr="009E3471" w:rsidRDefault="00A800E0"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2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w:t>
      </w:r>
      <w:r w:rsidR="00A9462E" w:rsidRPr="009E3471">
        <w:rPr>
          <w:rFonts w:ascii="Times New Roman" w:hAnsi="Times New Roman" w:cs="Times New Roman"/>
          <w:b/>
          <w:sz w:val="26"/>
          <w:szCs w:val="26"/>
        </w:rPr>
        <w:t>Back Pay</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42 U.S.C. § 2000e-5</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7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1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xml:space="preserve"> specifically provides for the award of back pay from the date of judgment back to two years prior to the date the plaintiff files a complaint with the Equal Employment Opportunity Commission. This section also provides that “[</w:t>
      </w:r>
      <w:proofErr w:type="spellStart"/>
      <w:r w:rsidRPr="00A9462E">
        <w:rPr>
          <w:rFonts w:ascii="Times New Roman" w:hAnsi="Times New Roman" w:cs="Times New Roman"/>
          <w:sz w:val="26"/>
          <w:szCs w:val="26"/>
        </w:rPr>
        <w:t>i</w:t>
      </w:r>
      <w:proofErr w:type="spellEnd"/>
      <w:r w:rsidRPr="00A9462E">
        <w:rPr>
          <w:rFonts w:ascii="Times New Roman" w:hAnsi="Times New Roman" w:cs="Times New Roman"/>
          <w:sz w:val="26"/>
          <w:szCs w:val="26"/>
        </w:rPr>
        <w:t>]</w:t>
      </w:r>
      <w:proofErr w:type="spellStart"/>
      <w:r w:rsidRPr="00A9462E">
        <w:rPr>
          <w:rFonts w:ascii="Times New Roman" w:hAnsi="Times New Roman" w:cs="Times New Roman"/>
          <w:sz w:val="26"/>
          <w:szCs w:val="26"/>
        </w:rPr>
        <w:t>nterim</w:t>
      </w:r>
      <w:proofErr w:type="spellEnd"/>
      <w:r w:rsidRPr="00A9462E">
        <w:rPr>
          <w:rFonts w:ascii="Times New Roman" w:hAnsi="Times New Roman" w:cs="Times New Roman"/>
          <w:sz w:val="26"/>
          <w:szCs w:val="26"/>
        </w:rPr>
        <w:t xml:space="preserve"> earnings or amounts earnable with reasonable diligence by the person or persons discriminated against shall operate to reduce the back pay otherwise allowable.” </w:t>
      </w:r>
      <w:r w:rsidRPr="000C052D">
        <w:rPr>
          <w:rFonts w:ascii="Times New Roman" w:hAnsi="Times New Roman" w:cs="Times New Roman"/>
          <w:i/>
          <w:sz w:val="26"/>
          <w:szCs w:val="26"/>
        </w:rPr>
        <w:t>Id.; see also Nord v. U.S. Steel Corp.</w:t>
      </w:r>
      <w:r w:rsidRPr="00A9462E">
        <w:rPr>
          <w:rFonts w:ascii="Times New Roman" w:hAnsi="Times New Roman" w:cs="Times New Roman"/>
          <w:sz w:val="26"/>
          <w:szCs w:val="26"/>
        </w:rPr>
        <w:t>, 758 F.2d 1462, 1470-73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1985) (stating that the purpose behind Title VII is to “make whole” the complainant, therefore back pay is recoverable up to the date judgment is entered and must exclude interim earnings).</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Back pay encompasses more than just salary; it also includes fringe benefits such as vacation, sick pay, </w:t>
      </w:r>
      <w:proofErr w:type="gramStart"/>
      <w:r w:rsidRPr="00A9462E">
        <w:rPr>
          <w:rFonts w:ascii="Times New Roman" w:hAnsi="Times New Roman" w:cs="Times New Roman"/>
          <w:sz w:val="26"/>
          <w:szCs w:val="26"/>
        </w:rPr>
        <w:t>insurance</w:t>
      </w:r>
      <w:proofErr w:type="gramEnd"/>
      <w:r w:rsidRPr="00A9462E">
        <w:rPr>
          <w:rFonts w:ascii="Times New Roman" w:hAnsi="Times New Roman" w:cs="Times New Roman"/>
          <w:sz w:val="26"/>
          <w:szCs w:val="26"/>
        </w:rPr>
        <w:t xml:space="preserve"> and retirement benefits. </w:t>
      </w:r>
      <w:r w:rsidRPr="000C052D">
        <w:rPr>
          <w:rFonts w:ascii="Times New Roman" w:hAnsi="Times New Roman" w:cs="Times New Roman"/>
          <w:i/>
          <w:sz w:val="26"/>
          <w:szCs w:val="26"/>
        </w:rPr>
        <w:t>Pettway v. Am. Cast Iron Pipe Co.</w:t>
      </w:r>
      <w:r w:rsidRPr="00A9462E">
        <w:rPr>
          <w:rFonts w:ascii="Times New Roman" w:hAnsi="Times New Roman" w:cs="Times New Roman"/>
          <w:sz w:val="26"/>
          <w:szCs w:val="26"/>
        </w:rPr>
        <w:t>, 494 F.2d 211, 263 (5</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 xml:space="preserve">Cir. 1974); </w:t>
      </w:r>
      <w:r w:rsidRPr="000C052D">
        <w:rPr>
          <w:rFonts w:ascii="Times New Roman" w:hAnsi="Times New Roman" w:cs="Times New Roman"/>
          <w:i/>
          <w:sz w:val="26"/>
          <w:szCs w:val="26"/>
        </w:rPr>
        <w:t>accord Crabtree v. Baptist Hosp. of Gadsden, Inc.</w:t>
      </w:r>
      <w:r w:rsidRPr="00A9462E">
        <w:rPr>
          <w:rFonts w:ascii="Times New Roman" w:hAnsi="Times New Roman" w:cs="Times New Roman"/>
          <w:sz w:val="26"/>
          <w:szCs w:val="26"/>
        </w:rPr>
        <w:t>, 749 F.2d 1501, 1502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1985).</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In an “after-acquired evidence” case, where the employer discovers evidence that would have caused it to terminate the employee </w:t>
      </w:r>
      <w:r w:rsidRPr="000C052D">
        <w:rPr>
          <w:rFonts w:ascii="Times New Roman" w:hAnsi="Times New Roman" w:cs="Times New Roman"/>
          <w:i/>
          <w:sz w:val="26"/>
          <w:szCs w:val="26"/>
        </w:rPr>
        <w:t>after</w:t>
      </w:r>
      <w:r w:rsidRPr="00A9462E">
        <w:rPr>
          <w:rFonts w:ascii="Times New Roman" w:hAnsi="Times New Roman" w:cs="Times New Roman"/>
          <w:sz w:val="26"/>
          <w:szCs w:val="26"/>
        </w:rPr>
        <w:t xml:space="preserve"> it terminates the employee for unlawful reasons, the after-acquired evidence does not bar recovery; it only affects the remedy. </w:t>
      </w:r>
      <w:proofErr w:type="gramStart"/>
      <w:r w:rsidRPr="000C052D">
        <w:rPr>
          <w:rFonts w:ascii="Times New Roman" w:hAnsi="Times New Roman" w:cs="Times New Roman"/>
          <w:i/>
          <w:sz w:val="26"/>
          <w:szCs w:val="26"/>
        </w:rPr>
        <w:t>Wallace v. Dunn Constr. Co.</w:t>
      </w:r>
      <w:r w:rsidRPr="00A9462E">
        <w:rPr>
          <w:rFonts w:ascii="Times New Roman" w:hAnsi="Times New Roman" w:cs="Times New Roman"/>
          <w:sz w:val="26"/>
          <w:szCs w:val="26"/>
        </w:rPr>
        <w:t>, 62 F.3d 374, 380-81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1995) (en banc).</w:t>
      </w:r>
      <w:proofErr w:type="gramEnd"/>
      <w:r w:rsidRPr="00A9462E">
        <w:rPr>
          <w:rFonts w:ascii="Times New Roman" w:hAnsi="Times New Roman" w:cs="Times New Roman"/>
          <w:sz w:val="26"/>
          <w:szCs w:val="26"/>
        </w:rPr>
        <w:t xml:space="preserve"> In such cases, the calculation of back pay is from the date of the unlawful discharge to the date the defendant discovers evidence of employee misconduct. </w:t>
      </w:r>
      <w:r w:rsidRPr="000C052D">
        <w:rPr>
          <w:rFonts w:ascii="Times New Roman" w:hAnsi="Times New Roman" w:cs="Times New Roman"/>
          <w:i/>
          <w:sz w:val="26"/>
          <w:szCs w:val="26"/>
        </w:rPr>
        <w:t>See id</w:t>
      </w:r>
      <w:r w:rsidRPr="00A9462E">
        <w:rPr>
          <w:rFonts w:ascii="Times New Roman" w:hAnsi="Times New Roman" w:cs="Times New Roman"/>
          <w:sz w:val="26"/>
          <w:szCs w:val="26"/>
        </w:rPr>
        <w:t>. (</w:t>
      </w:r>
      <w:proofErr w:type="gramStart"/>
      <w:r w:rsidRPr="00A9462E">
        <w:rPr>
          <w:rFonts w:ascii="Times New Roman" w:hAnsi="Times New Roman" w:cs="Times New Roman"/>
          <w:sz w:val="26"/>
          <w:szCs w:val="26"/>
        </w:rPr>
        <w:t>authorizing</w:t>
      </w:r>
      <w:proofErr w:type="gramEnd"/>
      <w:r w:rsidRPr="00A9462E">
        <w:rPr>
          <w:rFonts w:ascii="Times New Roman" w:hAnsi="Times New Roman" w:cs="Times New Roman"/>
          <w:sz w:val="26"/>
          <w:szCs w:val="26"/>
        </w:rPr>
        <w:t xml:space="preserve"> back pay from date of unlawful discharge to date employer discovered evidence that employee lied in her employment application).</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Back pay is recoverable only through 42 U.S.C. § 2000e-5</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7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1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it is specifically exempted from the definition of compensatory damages under 42 U.S.C. § 1981a</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2 </w:instrText>
      </w:r>
      <w:r w:rsidR="00A800E0">
        <w:rPr>
          <w:rFonts w:ascii="Times New Roman" w:hAnsi="Times New Roman" w:cs="Times New Roman"/>
          <w:sz w:val="26"/>
          <w:szCs w:val="26"/>
        </w:rPr>
        <w:fldChar w:fldCharType="end"/>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4 \s 2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xml:space="preserve">, so it is not limited by the damages cap of § 1981a. </w:t>
      </w:r>
      <w:r w:rsidRPr="000C052D">
        <w:rPr>
          <w:rFonts w:ascii="Times New Roman" w:hAnsi="Times New Roman" w:cs="Times New Roman"/>
          <w:i/>
          <w:sz w:val="26"/>
          <w:szCs w:val="26"/>
        </w:rPr>
        <w:t xml:space="preserve">Cf. </w:t>
      </w:r>
      <w:proofErr w:type="spellStart"/>
      <w:r w:rsidRPr="000C052D">
        <w:rPr>
          <w:rFonts w:ascii="Times New Roman" w:hAnsi="Times New Roman" w:cs="Times New Roman"/>
          <w:i/>
          <w:sz w:val="26"/>
          <w:szCs w:val="26"/>
        </w:rPr>
        <w:t>Landgraf</w:t>
      </w:r>
      <w:proofErr w:type="spellEnd"/>
      <w:r w:rsidRPr="000C052D">
        <w:rPr>
          <w:rFonts w:ascii="Times New Roman" w:hAnsi="Times New Roman" w:cs="Times New Roman"/>
          <w:i/>
          <w:sz w:val="26"/>
          <w:szCs w:val="26"/>
        </w:rPr>
        <w:t xml:space="preserve"> v. USI Film Prods.</w:t>
      </w:r>
      <w:r w:rsidRPr="00A9462E">
        <w:rPr>
          <w:rFonts w:ascii="Times New Roman" w:hAnsi="Times New Roman" w:cs="Times New Roman"/>
          <w:sz w:val="26"/>
          <w:szCs w:val="26"/>
        </w:rPr>
        <w:t xml:space="preserve">, 511 U.S. 244, 253-55 (1994) (stating that compensatory damages are in addition to “and do not replace or duplicate the </w:t>
      </w:r>
      <w:proofErr w:type="spellStart"/>
      <w:r w:rsidRPr="00A9462E">
        <w:rPr>
          <w:rFonts w:ascii="Times New Roman" w:hAnsi="Times New Roman" w:cs="Times New Roman"/>
          <w:sz w:val="26"/>
          <w:szCs w:val="26"/>
        </w:rPr>
        <w:t>backpay</w:t>
      </w:r>
      <w:proofErr w:type="spellEnd"/>
      <w:r w:rsidRPr="00A9462E">
        <w:rPr>
          <w:rFonts w:ascii="Times New Roman" w:hAnsi="Times New Roman" w:cs="Times New Roman"/>
          <w:sz w:val="26"/>
          <w:szCs w:val="26"/>
        </w:rPr>
        <w:t xml:space="preserve"> remedy” and that back pay is excluded from compensatory damages “to prevent double recovery”).</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In the Eleventh Circuit, back pay is considered equitable relief, so it is a question for the court and not the jury. </w:t>
      </w:r>
      <w:proofErr w:type="gramStart"/>
      <w:r w:rsidRPr="000C052D">
        <w:rPr>
          <w:rFonts w:ascii="Times New Roman" w:hAnsi="Times New Roman" w:cs="Times New Roman"/>
          <w:i/>
          <w:sz w:val="26"/>
          <w:szCs w:val="26"/>
        </w:rPr>
        <w:t>Brown v. Ala. Dep’t of Transp.</w:t>
      </w:r>
      <w:r w:rsidRPr="00A9462E">
        <w:rPr>
          <w:rFonts w:ascii="Times New Roman" w:hAnsi="Times New Roman" w:cs="Times New Roman"/>
          <w:sz w:val="26"/>
          <w:szCs w:val="26"/>
        </w:rPr>
        <w:t>, 597 F.3d 1160, 1184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2010).</w:t>
      </w:r>
      <w:proofErr w:type="gramEnd"/>
      <w:r w:rsidRPr="00A9462E">
        <w:rPr>
          <w:rFonts w:ascii="Times New Roman" w:hAnsi="Times New Roman" w:cs="Times New Roman"/>
          <w:sz w:val="26"/>
          <w:szCs w:val="26"/>
        </w:rPr>
        <w:t xml:space="preserve"> “Of course, when legal and equitable issues are tried together and overlap factually, the Seventh Amendment requires that ‘all findings necessarily made by the jury in awarding [a] verdict to [a party on legal claims] are binding on… the trial court’ when it sits in equity.” </w:t>
      </w:r>
      <w:r w:rsidRPr="000C052D">
        <w:rPr>
          <w:rFonts w:ascii="Times New Roman" w:hAnsi="Times New Roman" w:cs="Times New Roman"/>
          <w:i/>
          <w:sz w:val="26"/>
          <w:szCs w:val="26"/>
        </w:rPr>
        <w:t>Id</w:t>
      </w:r>
      <w:r w:rsidRPr="00A9462E">
        <w:rPr>
          <w:rFonts w:ascii="Times New Roman" w:hAnsi="Times New Roman" w:cs="Times New Roman"/>
          <w:sz w:val="26"/>
          <w:szCs w:val="26"/>
        </w:rPr>
        <w:t xml:space="preserve">. (quoting </w:t>
      </w:r>
      <w:r w:rsidRPr="000C052D">
        <w:rPr>
          <w:rFonts w:ascii="Times New Roman" w:hAnsi="Times New Roman" w:cs="Times New Roman"/>
          <w:i/>
          <w:sz w:val="26"/>
          <w:szCs w:val="26"/>
        </w:rPr>
        <w:t>Williams v. City of Valdosta</w:t>
      </w:r>
      <w:r w:rsidRPr="00A9462E">
        <w:rPr>
          <w:rFonts w:ascii="Times New Roman" w:hAnsi="Times New Roman" w:cs="Times New Roman"/>
          <w:sz w:val="26"/>
          <w:szCs w:val="26"/>
        </w:rPr>
        <w:t>, 689 F.2d 964, 976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1982) (alterations in original)).</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Even if the legal and equitable issues do not overlap, the parties may consent to have the issue tried by a jury, or the court may try the issue with an advisory jury. </w:t>
      </w:r>
      <w:proofErr w:type="gramStart"/>
      <w:r w:rsidRPr="00A9462E">
        <w:rPr>
          <w:rFonts w:ascii="Times New Roman" w:hAnsi="Times New Roman" w:cs="Times New Roman"/>
          <w:sz w:val="26"/>
          <w:szCs w:val="26"/>
        </w:rPr>
        <w:t>Fed.</w:t>
      </w:r>
      <w:proofErr w:type="gramEnd"/>
      <w:r w:rsidRPr="00A9462E">
        <w:rPr>
          <w:rFonts w:ascii="Times New Roman" w:hAnsi="Times New Roman" w:cs="Times New Roman"/>
          <w:sz w:val="26"/>
          <w:szCs w:val="26"/>
        </w:rPr>
        <w:t xml:space="preserve"> R. Civ. P. 39</w:t>
      </w:r>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3 </w:instrText>
      </w:r>
      <w:r w:rsidR="00A800E0">
        <w:rPr>
          <w:rFonts w:ascii="Times New Roman" w:hAnsi="Times New Roman" w:cs="Times New Roman"/>
          <w:sz w:val="26"/>
          <w:szCs w:val="26"/>
        </w:rPr>
        <w:fldChar w:fldCharType="end"/>
      </w:r>
      <w:r w:rsidRPr="00A9462E">
        <w:rPr>
          <w:rFonts w:ascii="Times New Roman" w:hAnsi="Times New Roman" w:cs="Times New Roman"/>
          <w:sz w:val="26"/>
          <w:szCs w:val="26"/>
        </w:rPr>
        <w:t>. Pattern Instruction 4.5 has been prepared to permit the jury to decide the claim for back pay. If the judge decides not to submit the issue to the jury, the jury should be told that should the jury find in favor of the plaintiff, the court will award pay lost as a result of defendant’s discrimination, and the jury should not make any award for lost pay.</w:t>
      </w:r>
    </w:p>
    <w:p w:rsidR="00A9462E" w:rsidRPr="009E3471" w:rsidRDefault="00A800E0"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3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w:t>
      </w:r>
      <w:r w:rsidR="00A9462E" w:rsidRPr="009E3471">
        <w:rPr>
          <w:rFonts w:ascii="Times New Roman" w:hAnsi="Times New Roman" w:cs="Times New Roman"/>
          <w:b/>
          <w:sz w:val="26"/>
          <w:szCs w:val="26"/>
        </w:rPr>
        <w:t>Front Pay</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The award of “front pay” covers monetary damages for future economic loss, and it is only awarded when reinstatement is not feasible “as a make-whole remedy.” </w:t>
      </w:r>
      <w:proofErr w:type="gramStart"/>
      <w:r w:rsidRPr="000C052D">
        <w:rPr>
          <w:rFonts w:ascii="Times New Roman" w:hAnsi="Times New Roman" w:cs="Times New Roman"/>
          <w:i/>
          <w:sz w:val="26"/>
          <w:szCs w:val="26"/>
        </w:rPr>
        <w:t>E.E.O.C. v. W &amp; O, Inc.</w:t>
      </w:r>
      <w:r w:rsidRPr="00A9462E">
        <w:rPr>
          <w:rFonts w:ascii="Times New Roman" w:hAnsi="Times New Roman" w:cs="Times New Roman"/>
          <w:sz w:val="26"/>
          <w:szCs w:val="26"/>
        </w:rPr>
        <w:t>, 213 F.3d 600, 619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2000).</w:t>
      </w:r>
      <w:proofErr w:type="gramEnd"/>
      <w:r w:rsidRPr="00A9462E">
        <w:rPr>
          <w:rFonts w:ascii="Times New Roman" w:hAnsi="Times New Roman" w:cs="Times New Roman"/>
          <w:sz w:val="26"/>
          <w:szCs w:val="26"/>
        </w:rPr>
        <w:t xml:space="preserve"> Front pay is an equitable remedy to be determined by the court at the conclusion of the jury trial. </w:t>
      </w:r>
      <w:r w:rsidRPr="000C052D">
        <w:rPr>
          <w:rFonts w:ascii="Times New Roman" w:hAnsi="Times New Roman" w:cs="Times New Roman"/>
          <w:i/>
          <w:sz w:val="26"/>
          <w:szCs w:val="26"/>
        </w:rPr>
        <w:t>Id.; accord Ramsey v. Chrysler First, Inc.</w:t>
      </w:r>
      <w:r w:rsidRPr="00A9462E">
        <w:rPr>
          <w:rFonts w:ascii="Times New Roman" w:hAnsi="Times New Roman" w:cs="Times New Roman"/>
          <w:sz w:val="26"/>
          <w:szCs w:val="26"/>
        </w:rPr>
        <w:t>, 861 F.2d 1541, 1545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1988).</w:t>
      </w:r>
    </w:p>
    <w:p w:rsidR="00A9462E" w:rsidRPr="009E3471" w:rsidRDefault="00A800E0" w:rsidP="00BB4867">
      <w:pPr>
        <w:spacing w:after="240" w:line="240" w:lineRule="auto"/>
        <w:ind w:firstLine="720"/>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2 \s 4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w:t>
      </w:r>
      <w:r w:rsidR="00A9462E" w:rsidRPr="009E3471">
        <w:rPr>
          <w:rFonts w:ascii="Times New Roman" w:hAnsi="Times New Roman" w:cs="Times New Roman"/>
          <w:b/>
          <w:sz w:val="26"/>
          <w:szCs w:val="26"/>
        </w:rPr>
        <w:t>Attorney’s Fees</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Title VII explicitly authorizes the court, in its discretion, to award attorney’s fees to “the prevailing party.” </w:t>
      </w:r>
      <w:proofErr w:type="gramStart"/>
      <w:r w:rsidRPr="00A9462E">
        <w:rPr>
          <w:rFonts w:ascii="Times New Roman" w:hAnsi="Times New Roman" w:cs="Times New Roman"/>
          <w:sz w:val="26"/>
          <w:szCs w:val="26"/>
        </w:rPr>
        <w:t>42 U.S.C. § 2000e-5</w:t>
      </w:r>
      <w:proofErr w:type="gramEnd"/>
      <w:r w:rsidR="00A800E0">
        <w:rPr>
          <w:rFonts w:ascii="Times New Roman" w:hAnsi="Times New Roman" w:cs="Times New Roman"/>
          <w:sz w:val="26"/>
          <w:szCs w:val="26"/>
        </w:rPr>
        <w:fldChar w:fldCharType="begin"/>
      </w:r>
      <w:r w:rsidR="00A800E0">
        <w:rPr>
          <w:rFonts w:ascii="Times New Roman" w:hAnsi="Times New Roman" w:cs="Times New Roman"/>
          <w:sz w:val="26"/>
          <w:szCs w:val="26"/>
        </w:rPr>
        <w:instrText xml:space="preserve"> LISTNUM  NumberDefault \l 5 \s 11 </w:instrText>
      </w:r>
      <w:r w:rsidR="00A800E0">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w:t>
      </w:r>
      <w:proofErr w:type="gramEnd"/>
      <w:r w:rsidRPr="00A9462E">
        <w:rPr>
          <w:rFonts w:ascii="Times New Roman" w:hAnsi="Times New Roman" w:cs="Times New Roman"/>
          <w:sz w:val="26"/>
          <w:szCs w:val="26"/>
        </w:rPr>
        <w:t xml:space="preserve"> The attorney’s fee award is an issue for the court, not the jury.</w:t>
      </w:r>
    </w:p>
    <w:p w:rsidR="00A9462E" w:rsidRPr="009E3471" w:rsidRDefault="00A800E0" w:rsidP="00BB4867">
      <w:pPr>
        <w:spacing w:after="240" w:line="240" w:lineRule="auto"/>
        <w:jc w:val="both"/>
        <w:rPr>
          <w:rFonts w:ascii="Times New Roman" w:hAnsi="Times New Roman" w:cs="Times New Roman"/>
          <w:b/>
          <w:sz w:val="26"/>
          <w:szCs w:val="26"/>
        </w:rPr>
      </w:pPr>
      <w:r w:rsidRPr="009E3471">
        <w:rPr>
          <w:rFonts w:ascii="Times New Roman" w:hAnsi="Times New Roman" w:cs="Times New Roman"/>
          <w:b/>
          <w:sz w:val="26"/>
          <w:szCs w:val="26"/>
        </w:rPr>
        <w:fldChar w:fldCharType="begin"/>
      </w:r>
      <w:r w:rsidRPr="009E3471">
        <w:rPr>
          <w:rFonts w:ascii="Times New Roman" w:hAnsi="Times New Roman" w:cs="Times New Roman"/>
          <w:b/>
          <w:sz w:val="26"/>
          <w:szCs w:val="26"/>
        </w:rPr>
        <w:instrText xml:space="preserve"> LISTNUM  OutlineDefault \l 1 \s 4 </w:instrText>
      </w:r>
      <w:r w:rsidRPr="009E3471">
        <w:rPr>
          <w:rFonts w:ascii="Times New Roman" w:hAnsi="Times New Roman" w:cs="Times New Roman"/>
          <w:b/>
          <w:sz w:val="26"/>
          <w:szCs w:val="26"/>
        </w:rPr>
        <w:fldChar w:fldCharType="end"/>
      </w:r>
      <w:r w:rsidRPr="009E3471">
        <w:rPr>
          <w:rFonts w:ascii="Times New Roman" w:hAnsi="Times New Roman" w:cs="Times New Roman"/>
          <w:b/>
          <w:sz w:val="26"/>
          <w:szCs w:val="26"/>
        </w:rPr>
        <w:t xml:space="preserve"> </w:t>
      </w:r>
      <w:r w:rsidR="00A9462E" w:rsidRPr="009E3471">
        <w:rPr>
          <w:rFonts w:ascii="Times New Roman" w:hAnsi="Times New Roman" w:cs="Times New Roman"/>
          <w:b/>
          <w:sz w:val="26"/>
          <w:szCs w:val="26"/>
        </w:rPr>
        <w:t xml:space="preserve">When the Case Involves Disparate Treatment Claims </w:t>
      </w:r>
      <w:proofErr w:type="gramStart"/>
      <w:r w:rsidR="00A9462E" w:rsidRPr="009E3471">
        <w:rPr>
          <w:rFonts w:ascii="Times New Roman" w:hAnsi="Times New Roman" w:cs="Times New Roman"/>
          <w:b/>
          <w:sz w:val="26"/>
          <w:szCs w:val="26"/>
        </w:rPr>
        <w:t>Under</w:t>
      </w:r>
      <w:proofErr w:type="gramEnd"/>
      <w:r w:rsidR="00A9462E" w:rsidRPr="009E3471">
        <w:rPr>
          <w:rFonts w:ascii="Times New Roman" w:hAnsi="Times New Roman" w:cs="Times New Roman"/>
          <w:b/>
          <w:sz w:val="26"/>
          <w:szCs w:val="26"/>
        </w:rPr>
        <w:t xml:space="preserve"> More than One Statute</w:t>
      </w:r>
    </w:p>
    <w:p w:rsidR="00A9462E"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In some cases, a plaintiff will bring a disparate treatment claim under more than one statute based on the same set of facts (Title VII, Equal Protection Clause, and 42 U.S.C. § 1981). The jury instruction on these separate claims can be combined because the analysis of disparate treatment claims under Title VII is identical to the analysis under the Equal Protection Clause and § 1981 where the facts on which the claims rely are the same. </w:t>
      </w:r>
      <w:proofErr w:type="gramStart"/>
      <w:r w:rsidRPr="000C052D">
        <w:rPr>
          <w:rFonts w:ascii="Times New Roman" w:hAnsi="Times New Roman" w:cs="Times New Roman"/>
          <w:i/>
          <w:sz w:val="26"/>
          <w:szCs w:val="26"/>
        </w:rPr>
        <w:t>Crawford v. Carroll</w:t>
      </w:r>
      <w:r w:rsidRPr="00A9462E">
        <w:rPr>
          <w:rFonts w:ascii="Times New Roman" w:hAnsi="Times New Roman" w:cs="Times New Roman"/>
          <w:sz w:val="26"/>
          <w:szCs w:val="26"/>
        </w:rPr>
        <w:t>, 529 F.3d 961, 970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2008).</w:t>
      </w:r>
      <w:proofErr w:type="gramEnd"/>
      <w:r w:rsidRPr="00A9462E">
        <w:rPr>
          <w:rFonts w:ascii="Times New Roman" w:hAnsi="Times New Roman" w:cs="Times New Roman"/>
          <w:sz w:val="26"/>
          <w:szCs w:val="26"/>
        </w:rPr>
        <w:t xml:space="preserve"> Three issues to consider when combining instructions: </w:t>
      </w:r>
      <w:r w:rsidR="009E3471">
        <w:rPr>
          <w:rFonts w:ascii="Times New Roman" w:hAnsi="Times New Roman" w:cs="Times New Roman"/>
          <w:sz w:val="26"/>
          <w:szCs w:val="26"/>
        </w:rPr>
        <w:fldChar w:fldCharType="begin"/>
      </w:r>
      <w:r w:rsidR="009E3471">
        <w:rPr>
          <w:rFonts w:ascii="Times New Roman" w:hAnsi="Times New Roman" w:cs="Times New Roman"/>
          <w:sz w:val="26"/>
          <w:szCs w:val="26"/>
        </w:rPr>
        <w:instrText xml:space="preserve"> LISTNUM  NumberDefault \l 4 \s 1 </w:instrText>
      </w:r>
      <w:r w:rsidR="009E3471">
        <w:rPr>
          <w:rFonts w:ascii="Times New Roman" w:hAnsi="Times New Roman" w:cs="Times New Roman"/>
          <w:sz w:val="26"/>
          <w:szCs w:val="26"/>
        </w:rPr>
        <w:fldChar w:fldCharType="end"/>
      </w:r>
      <w:r w:rsidRPr="00A9462E">
        <w:rPr>
          <w:rFonts w:ascii="Times New Roman" w:hAnsi="Times New Roman" w:cs="Times New Roman"/>
          <w:sz w:val="26"/>
          <w:szCs w:val="26"/>
        </w:rPr>
        <w:t xml:space="preserve"> the causation standards may differ, so the instruction and verdict form should take that into account; </w:t>
      </w:r>
      <w:r w:rsidR="009E3471">
        <w:rPr>
          <w:rFonts w:ascii="Times New Roman" w:hAnsi="Times New Roman" w:cs="Times New Roman"/>
          <w:sz w:val="26"/>
          <w:szCs w:val="26"/>
        </w:rPr>
        <w:fldChar w:fldCharType="begin"/>
      </w:r>
      <w:r w:rsidR="009E3471">
        <w:rPr>
          <w:rFonts w:ascii="Times New Roman" w:hAnsi="Times New Roman" w:cs="Times New Roman"/>
          <w:sz w:val="26"/>
          <w:szCs w:val="26"/>
        </w:rPr>
        <w:instrText xml:space="preserve"> LISTNUM  NumberDefault \l 4 \s 2 </w:instrText>
      </w:r>
      <w:r w:rsidR="009E3471">
        <w:rPr>
          <w:rFonts w:ascii="Times New Roman" w:hAnsi="Times New Roman" w:cs="Times New Roman"/>
          <w:sz w:val="26"/>
          <w:szCs w:val="26"/>
        </w:rPr>
        <w:fldChar w:fldCharType="end"/>
      </w:r>
      <w:r w:rsidRPr="00A9462E">
        <w:rPr>
          <w:rFonts w:ascii="Times New Roman" w:hAnsi="Times New Roman" w:cs="Times New Roman"/>
          <w:sz w:val="26"/>
          <w:szCs w:val="26"/>
        </w:rPr>
        <w:t xml:space="preserve"> statutes of limitations differ, so the instruction and verdict form should take that into account; </w:t>
      </w:r>
      <w:r w:rsidR="009E3471">
        <w:rPr>
          <w:rFonts w:ascii="Times New Roman" w:hAnsi="Times New Roman" w:cs="Times New Roman"/>
          <w:sz w:val="26"/>
          <w:szCs w:val="26"/>
        </w:rPr>
        <w:fldChar w:fldCharType="begin"/>
      </w:r>
      <w:r w:rsidR="009E3471">
        <w:rPr>
          <w:rFonts w:ascii="Times New Roman" w:hAnsi="Times New Roman" w:cs="Times New Roman"/>
          <w:sz w:val="26"/>
          <w:szCs w:val="26"/>
        </w:rPr>
        <w:instrText xml:space="preserve"> LISTNUM  NumberDefault \l 4 \s 3 </w:instrText>
      </w:r>
      <w:r w:rsidR="009E3471">
        <w:rPr>
          <w:rFonts w:ascii="Times New Roman" w:hAnsi="Times New Roman" w:cs="Times New Roman"/>
          <w:sz w:val="26"/>
          <w:szCs w:val="26"/>
        </w:rPr>
        <w:fldChar w:fldCharType="end"/>
      </w:r>
      <w:r w:rsidRPr="00A9462E">
        <w:rPr>
          <w:rFonts w:ascii="Times New Roman" w:hAnsi="Times New Roman" w:cs="Times New Roman"/>
          <w:sz w:val="26"/>
          <w:szCs w:val="26"/>
        </w:rPr>
        <w:t xml:space="preserve"> the availability of punitive damages differs by statute and type of defendant, so the instruction and verdict form should take that into account.</w:t>
      </w:r>
    </w:p>
    <w:p w:rsidR="0005116F" w:rsidRPr="00A9462E" w:rsidRDefault="00A9462E" w:rsidP="00BB4867">
      <w:pPr>
        <w:spacing w:after="240" w:line="240" w:lineRule="auto"/>
        <w:ind w:firstLine="720"/>
        <w:jc w:val="both"/>
        <w:rPr>
          <w:rFonts w:ascii="Times New Roman" w:hAnsi="Times New Roman" w:cs="Times New Roman"/>
          <w:sz w:val="26"/>
          <w:szCs w:val="26"/>
        </w:rPr>
      </w:pPr>
      <w:r w:rsidRPr="00A9462E">
        <w:rPr>
          <w:rFonts w:ascii="Times New Roman" w:hAnsi="Times New Roman" w:cs="Times New Roman"/>
          <w:sz w:val="26"/>
          <w:szCs w:val="26"/>
        </w:rPr>
        <w:t xml:space="preserve">Though the Eleventh Circuit has stated that the analysis of claims under Title VII, Equal Protection Clause, and § 1981 is “identical,” </w:t>
      </w:r>
      <w:r w:rsidRPr="000C052D">
        <w:rPr>
          <w:rFonts w:ascii="Times New Roman" w:hAnsi="Times New Roman" w:cs="Times New Roman"/>
          <w:i/>
          <w:sz w:val="26"/>
          <w:szCs w:val="26"/>
        </w:rPr>
        <w:t>Crawford</w:t>
      </w:r>
      <w:r w:rsidRPr="00A9462E">
        <w:rPr>
          <w:rFonts w:ascii="Times New Roman" w:hAnsi="Times New Roman" w:cs="Times New Roman"/>
          <w:sz w:val="26"/>
          <w:szCs w:val="26"/>
        </w:rPr>
        <w:t>, 529 F.3d at 970, there are some important distinctions with regard to the causation standards under the different theories. Title VII claims are subject to a “motivating factor” causation standard. 42 U.S.C. § 2000e-2</w:t>
      </w:r>
      <w:r w:rsidR="009E3471">
        <w:rPr>
          <w:rFonts w:ascii="Times New Roman" w:hAnsi="Times New Roman" w:cs="Times New Roman"/>
          <w:sz w:val="26"/>
          <w:szCs w:val="26"/>
        </w:rPr>
        <w:fldChar w:fldCharType="begin"/>
      </w:r>
      <w:r w:rsidR="009E3471">
        <w:rPr>
          <w:rFonts w:ascii="Times New Roman" w:hAnsi="Times New Roman" w:cs="Times New Roman"/>
          <w:sz w:val="26"/>
          <w:szCs w:val="26"/>
        </w:rPr>
        <w:instrText xml:space="preserve"> LISTNUM  NumberDefault \l 5 \s 13 </w:instrText>
      </w:r>
      <w:r w:rsidR="009E3471">
        <w:rPr>
          <w:rFonts w:ascii="Times New Roman" w:hAnsi="Times New Roman" w:cs="Times New Roman"/>
          <w:sz w:val="26"/>
          <w:szCs w:val="26"/>
        </w:rPr>
        <w:fldChar w:fldCharType="end"/>
      </w:r>
      <w:r w:rsidRPr="00A9462E">
        <w:rPr>
          <w:rFonts w:ascii="Times New Roman" w:hAnsi="Times New Roman" w:cs="Times New Roman"/>
          <w:sz w:val="26"/>
          <w:szCs w:val="26"/>
        </w:rPr>
        <w:t xml:space="preserve"> (“[A]n unlawful employment practice is established when the complaining party demonstrates that race, color, religion, sex, or national origin was a motivating factor for any employment practice, even though other factors also motivated the practice.”). Under Title VII, if a plaintiff establishes that a protected trait was a motivating factor that caused the employer’s decision and the employer establishes the “same decision” affirmative defense by proving that it would have taken the same action even if it had not considered the protected trait, the plaintiff can still obtain limited relief. </w:t>
      </w:r>
      <w:proofErr w:type="gramStart"/>
      <w:r w:rsidRPr="00A9462E">
        <w:rPr>
          <w:rFonts w:ascii="Times New Roman" w:hAnsi="Times New Roman" w:cs="Times New Roman"/>
          <w:sz w:val="26"/>
          <w:szCs w:val="26"/>
        </w:rPr>
        <w:t>42 U.S.C. § 2000e-5</w:t>
      </w:r>
      <w:proofErr w:type="gramEnd"/>
      <w:r w:rsidR="009E3471">
        <w:rPr>
          <w:rFonts w:ascii="Times New Roman" w:hAnsi="Times New Roman" w:cs="Times New Roman"/>
          <w:sz w:val="26"/>
          <w:szCs w:val="26"/>
        </w:rPr>
        <w:fldChar w:fldCharType="begin"/>
      </w:r>
      <w:r w:rsidR="009E3471">
        <w:rPr>
          <w:rFonts w:ascii="Times New Roman" w:hAnsi="Times New Roman" w:cs="Times New Roman"/>
          <w:sz w:val="26"/>
          <w:szCs w:val="26"/>
        </w:rPr>
        <w:instrText xml:space="preserve"> LISTNUM  NumberDefault \l 5 \s 7 </w:instrText>
      </w:r>
      <w:r w:rsidR="009E3471">
        <w:rPr>
          <w:rFonts w:ascii="Times New Roman" w:hAnsi="Times New Roman" w:cs="Times New Roman"/>
          <w:sz w:val="26"/>
          <w:szCs w:val="26"/>
        </w:rPr>
        <w:fldChar w:fldCharType="end"/>
      </w:r>
      <w:r w:rsidR="009E3471">
        <w:rPr>
          <w:rFonts w:ascii="Times New Roman" w:hAnsi="Times New Roman" w:cs="Times New Roman"/>
          <w:sz w:val="26"/>
          <w:szCs w:val="26"/>
        </w:rPr>
        <w:fldChar w:fldCharType="begin"/>
      </w:r>
      <w:r w:rsidR="009E3471">
        <w:rPr>
          <w:rFonts w:ascii="Times New Roman" w:hAnsi="Times New Roman" w:cs="Times New Roman"/>
          <w:sz w:val="26"/>
          <w:szCs w:val="26"/>
        </w:rPr>
        <w:instrText xml:space="preserve"> LISTNUM  NumberDefault \l 4 \s 2 </w:instrText>
      </w:r>
      <w:r w:rsidR="009E3471">
        <w:rPr>
          <w:rFonts w:ascii="Times New Roman" w:hAnsi="Times New Roman" w:cs="Times New Roman"/>
          <w:sz w:val="26"/>
          <w:szCs w:val="26"/>
        </w:rPr>
        <w:fldChar w:fldCharType="end"/>
      </w:r>
      <w:proofErr w:type="gramStart"/>
      <w:r w:rsidRPr="00A9462E">
        <w:rPr>
          <w:rFonts w:ascii="Times New Roman" w:hAnsi="Times New Roman" w:cs="Times New Roman"/>
          <w:sz w:val="26"/>
          <w:szCs w:val="26"/>
        </w:rPr>
        <w:t>(B).</w:t>
      </w:r>
      <w:proofErr w:type="gramEnd"/>
      <w:r w:rsidRPr="00A9462E">
        <w:rPr>
          <w:rFonts w:ascii="Times New Roman" w:hAnsi="Times New Roman" w:cs="Times New Roman"/>
          <w:sz w:val="26"/>
          <w:szCs w:val="26"/>
        </w:rPr>
        <w:t xml:space="preserve"> In other words, the “same decision” defense is not a complete bar to relief under Title VII. In contrast, though the “motivating factor” standard applies in § 1983/Equal Protection cases, the “same decision” defense is a complete bar in § 1983/Equal Protection cases. </w:t>
      </w:r>
      <w:proofErr w:type="gramStart"/>
      <w:r w:rsidRPr="000C052D">
        <w:rPr>
          <w:rFonts w:ascii="Times New Roman" w:hAnsi="Times New Roman" w:cs="Times New Roman"/>
          <w:i/>
          <w:sz w:val="26"/>
          <w:szCs w:val="26"/>
        </w:rPr>
        <w:t xml:space="preserve">Harris v. Shelby </w:t>
      </w:r>
      <w:proofErr w:type="spellStart"/>
      <w:r w:rsidRPr="000C052D">
        <w:rPr>
          <w:rFonts w:ascii="Times New Roman" w:hAnsi="Times New Roman" w:cs="Times New Roman"/>
          <w:i/>
          <w:sz w:val="26"/>
          <w:szCs w:val="26"/>
        </w:rPr>
        <w:t>Cnty</w:t>
      </w:r>
      <w:proofErr w:type="spellEnd"/>
      <w:r w:rsidRPr="000C052D">
        <w:rPr>
          <w:rFonts w:ascii="Times New Roman" w:hAnsi="Times New Roman" w:cs="Times New Roman"/>
          <w:i/>
          <w:sz w:val="26"/>
          <w:szCs w:val="26"/>
        </w:rPr>
        <w:t>.</w:t>
      </w:r>
      <w:proofErr w:type="gramEnd"/>
      <w:r w:rsidRPr="000C052D">
        <w:rPr>
          <w:rFonts w:ascii="Times New Roman" w:hAnsi="Times New Roman" w:cs="Times New Roman"/>
          <w:i/>
          <w:sz w:val="26"/>
          <w:szCs w:val="26"/>
        </w:rPr>
        <w:t xml:space="preserve"> </w:t>
      </w:r>
      <w:proofErr w:type="gramStart"/>
      <w:r w:rsidRPr="000C052D">
        <w:rPr>
          <w:rFonts w:ascii="Times New Roman" w:hAnsi="Times New Roman" w:cs="Times New Roman"/>
          <w:i/>
          <w:sz w:val="26"/>
          <w:szCs w:val="26"/>
        </w:rPr>
        <w:t>Bd. of Educ.</w:t>
      </w:r>
      <w:r w:rsidRPr="00A9462E">
        <w:rPr>
          <w:rFonts w:ascii="Times New Roman" w:hAnsi="Times New Roman" w:cs="Times New Roman"/>
          <w:sz w:val="26"/>
          <w:szCs w:val="26"/>
        </w:rPr>
        <w:t>, 99 F.3d 1078, 1084 n.5 (11</w:t>
      </w:r>
      <w:r w:rsidRPr="00835299">
        <w:rPr>
          <w:rFonts w:ascii="Times New Roman" w:hAnsi="Times New Roman" w:cs="Times New Roman"/>
          <w:sz w:val="26"/>
          <w:szCs w:val="26"/>
          <w:vertAlign w:val="superscript"/>
        </w:rPr>
        <w:t xml:space="preserve">th </w:t>
      </w:r>
      <w:r w:rsidRPr="00A9462E">
        <w:rPr>
          <w:rFonts w:ascii="Times New Roman" w:hAnsi="Times New Roman" w:cs="Times New Roman"/>
          <w:sz w:val="26"/>
          <w:szCs w:val="26"/>
        </w:rPr>
        <w:t>Cir. 1996).</w:t>
      </w:r>
      <w:proofErr w:type="gramEnd"/>
      <w:r w:rsidRPr="00A9462E">
        <w:rPr>
          <w:rFonts w:ascii="Times New Roman" w:hAnsi="Times New Roman" w:cs="Times New Roman"/>
          <w:sz w:val="26"/>
          <w:szCs w:val="26"/>
        </w:rPr>
        <w:t xml:space="preserve"> By the date of this publication, neither the Supreme Court nor the Eleventh Circuit had addressed whether the reasoning of </w:t>
      </w:r>
      <w:r w:rsidRPr="000C052D">
        <w:rPr>
          <w:rFonts w:ascii="Times New Roman" w:hAnsi="Times New Roman" w:cs="Times New Roman"/>
          <w:i/>
          <w:sz w:val="26"/>
          <w:szCs w:val="26"/>
        </w:rPr>
        <w:t>Gross v. FBL Financial Services, Inc.</w:t>
      </w:r>
      <w:r w:rsidRPr="00A9462E">
        <w:rPr>
          <w:rFonts w:ascii="Times New Roman" w:hAnsi="Times New Roman" w:cs="Times New Roman"/>
          <w:sz w:val="26"/>
          <w:szCs w:val="26"/>
        </w:rPr>
        <w:t xml:space="preserve">, 557 U.S. 167 (2009) applies to claims under § 1981 such that a “because of” causation standard applies instead of a “motivating factor” standard. Please see the annotation to Pattern Instruction 4.9, </w:t>
      </w:r>
      <w:r w:rsidRPr="000C052D">
        <w:rPr>
          <w:rFonts w:ascii="Times New Roman" w:hAnsi="Times New Roman" w:cs="Times New Roman"/>
          <w:i/>
          <w:sz w:val="26"/>
          <w:szCs w:val="26"/>
        </w:rPr>
        <w:t>infra</w:t>
      </w:r>
      <w:r w:rsidRPr="00A9462E">
        <w:rPr>
          <w:rFonts w:ascii="Times New Roman" w:hAnsi="Times New Roman" w:cs="Times New Roman"/>
          <w:sz w:val="26"/>
          <w:szCs w:val="26"/>
        </w:rPr>
        <w:t xml:space="preserve">, for more discussion of this issue. If the “because of” standard applies, then the jury should be instructed on that causation standard, and there is no same decision affirmative defense because the plaintiff must show that the protected trait was </w:t>
      </w:r>
      <w:r w:rsidRPr="000C052D">
        <w:rPr>
          <w:rFonts w:ascii="Times New Roman" w:hAnsi="Times New Roman" w:cs="Times New Roman"/>
          <w:i/>
          <w:sz w:val="26"/>
          <w:szCs w:val="26"/>
        </w:rPr>
        <w:t>the</w:t>
      </w:r>
      <w:r w:rsidRPr="00A9462E">
        <w:rPr>
          <w:rFonts w:ascii="Times New Roman" w:hAnsi="Times New Roman" w:cs="Times New Roman"/>
          <w:sz w:val="26"/>
          <w:szCs w:val="26"/>
        </w:rPr>
        <w:t xml:space="preserve"> reason for the decision. If the “motivating factor” standard applies to § 1981 claims, then the “same decision” defense is a complete bar to recovery, just as it is in § 1983/Equal Protection cases.</w:t>
      </w:r>
      <w:bookmarkEnd w:id="0"/>
    </w:p>
    <w:sectPr w:rsidR="0005116F" w:rsidRPr="00A9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2E"/>
    <w:rsid w:val="0005116F"/>
    <w:rsid w:val="000C052D"/>
    <w:rsid w:val="006B388F"/>
    <w:rsid w:val="00835299"/>
    <w:rsid w:val="009E3471"/>
    <w:rsid w:val="00A800E0"/>
    <w:rsid w:val="00A9462E"/>
    <w:rsid w:val="00BB4867"/>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2014-06-16T18:00:00Z</dcterms:created>
  <dcterms:modified xsi:type="dcterms:W3CDTF">2014-06-19T22:21:00Z</dcterms:modified>
</cp:coreProperties>
</file>