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DE027" w14:textId="77777777" w:rsidR="001A5CDE" w:rsidRPr="001A5CDE" w:rsidRDefault="001A5CDE" w:rsidP="0096077B">
      <w:pPr>
        <w:spacing w:line="240" w:lineRule="auto"/>
        <w:jc w:val="both"/>
        <w:rPr>
          <w:rFonts w:eastAsia="Arial" w:cs="Times New Roman"/>
          <w:sz w:val="26"/>
          <w:szCs w:val="26"/>
        </w:rPr>
      </w:pPr>
      <w:bookmarkStart w:id="0" w:name="_GoBack"/>
      <w:r w:rsidRPr="001A5CDE">
        <w:rPr>
          <w:rFonts w:eastAsia="Arial" w:cs="Times New Roman"/>
          <w:b/>
          <w:sz w:val="26"/>
          <w:szCs w:val="26"/>
          <w:u w:val="single"/>
        </w:rPr>
        <w:t>ANNOTATIONS AND COMMENTS</w:t>
      </w:r>
    </w:p>
    <w:p w14:paraId="5D4CFA1A" w14:textId="77777777" w:rsidR="001A5CDE" w:rsidRPr="001A5CDE" w:rsidRDefault="001A5CDE" w:rsidP="0096077B">
      <w:pPr>
        <w:spacing w:line="240" w:lineRule="auto"/>
        <w:jc w:val="both"/>
        <w:rPr>
          <w:rFonts w:eastAsia="Arial" w:cs="Times New Roman"/>
          <w:b/>
          <w:sz w:val="26"/>
          <w:szCs w:val="26"/>
        </w:rPr>
      </w:pPr>
      <w:r w:rsidRPr="001A5CDE">
        <w:rPr>
          <w:rFonts w:eastAsia="Arial" w:cs="Times New Roman"/>
          <w:b/>
          <w:sz w:val="26"/>
          <w:szCs w:val="26"/>
        </w:rPr>
        <w:fldChar w:fldCharType="begin"/>
      </w:r>
      <w:r w:rsidRPr="001A5CDE">
        <w:rPr>
          <w:rFonts w:eastAsia="Arial" w:cs="Times New Roman"/>
          <w:b/>
          <w:sz w:val="26"/>
          <w:szCs w:val="26"/>
        </w:rPr>
        <w:instrText xml:space="preserve"> LISTNUM  OutlineDefault \l 1 \s 1 </w:instrText>
      </w:r>
      <w:r w:rsidRPr="001A5CDE">
        <w:rPr>
          <w:rFonts w:eastAsia="Arial" w:cs="Times New Roman"/>
          <w:b/>
          <w:sz w:val="26"/>
          <w:szCs w:val="26"/>
        </w:rPr>
        <w:fldChar w:fldCharType="end"/>
      </w:r>
      <w:r w:rsidRPr="001A5CDE">
        <w:rPr>
          <w:rFonts w:eastAsia="Arial" w:cs="Times New Roman"/>
          <w:b/>
          <w:sz w:val="26"/>
          <w:szCs w:val="26"/>
        </w:rPr>
        <w:t xml:space="preserve"> Cause of Action</w:t>
      </w:r>
    </w:p>
    <w:p w14:paraId="6D23B1A7" w14:textId="77777777" w:rsidR="001A5CDE" w:rsidRPr="001A5CDE" w:rsidRDefault="001A5CDE" w:rsidP="0096077B">
      <w:pPr>
        <w:spacing w:line="240" w:lineRule="auto"/>
        <w:ind w:firstLine="720"/>
        <w:jc w:val="both"/>
        <w:rPr>
          <w:rFonts w:eastAsia="Arial" w:cs="Times New Roman"/>
          <w:sz w:val="26"/>
          <w:szCs w:val="26"/>
        </w:rPr>
      </w:pPr>
      <w:r w:rsidRPr="001A5CDE">
        <w:rPr>
          <w:rFonts w:eastAsia="Arial" w:cs="Times New Roman"/>
          <w:sz w:val="26"/>
          <w:szCs w:val="26"/>
        </w:rPr>
        <w:t xml:space="preserve">Title VII of the Civil Rights Act of 1964 prohibits employment discrimination </w:t>
      </w:r>
      <w:proofErr w:type="gramStart"/>
      <w:r w:rsidRPr="001A5CDE">
        <w:rPr>
          <w:rFonts w:eastAsia="Arial" w:cs="Times New Roman"/>
          <w:sz w:val="26"/>
          <w:szCs w:val="26"/>
        </w:rPr>
        <w:t>on the basis of</w:t>
      </w:r>
      <w:proofErr w:type="gramEnd"/>
      <w:r w:rsidRPr="001A5CDE">
        <w:rPr>
          <w:rFonts w:eastAsia="Arial" w:cs="Times New Roman"/>
          <w:sz w:val="26"/>
          <w:szCs w:val="26"/>
        </w:rPr>
        <w:t xml:space="preserve"> “race, color, religion, sex, or national origin.” 42 U.S.C. § 2000e-2</w:t>
      </w:r>
      <w:r w:rsidRPr="001A5CDE">
        <w:rPr>
          <w:rFonts w:eastAsia="Arial" w:cs="Times New Roman"/>
          <w:sz w:val="26"/>
          <w:szCs w:val="26"/>
        </w:rPr>
        <w:fldChar w:fldCharType="begin"/>
      </w:r>
      <w:r w:rsidRPr="001A5CDE">
        <w:rPr>
          <w:rFonts w:eastAsia="Arial" w:cs="Times New Roman"/>
          <w:sz w:val="26"/>
          <w:szCs w:val="26"/>
        </w:rPr>
        <w:instrText xml:space="preserve"> LISTNUM  NumberDefault \l 5 \s 1 </w:instrText>
      </w:r>
      <w:r w:rsidRPr="001A5CDE">
        <w:rPr>
          <w:rFonts w:eastAsia="Arial" w:cs="Times New Roman"/>
          <w:sz w:val="26"/>
          <w:szCs w:val="26"/>
        </w:rPr>
        <w:fldChar w:fldCharType="end"/>
      </w:r>
      <w:r w:rsidRPr="001A5CDE">
        <w:rPr>
          <w:rFonts w:eastAsia="Arial" w:cs="Times New Roman"/>
          <w:sz w:val="26"/>
          <w:szCs w:val="26"/>
        </w:rPr>
        <w:t xml:space="preserve">. Such disparate treatment can take the form of a “hostile work environment that changes the terms and conditions of employment, even though the employee is not discharged, demoted, or reassigned.” </w:t>
      </w:r>
      <w:r w:rsidRPr="001A5CDE">
        <w:rPr>
          <w:rFonts w:eastAsia="Arial" w:cs="Times New Roman"/>
          <w:i/>
          <w:sz w:val="26"/>
          <w:szCs w:val="26"/>
        </w:rPr>
        <w:t>Reeves v. C.H. Robinson Worldwide, Inc.</w:t>
      </w:r>
      <w:r w:rsidRPr="001A5CDE">
        <w:rPr>
          <w:rFonts w:eastAsia="Arial" w:cs="Times New Roman"/>
          <w:sz w:val="26"/>
          <w:szCs w:val="26"/>
        </w:rPr>
        <w:t>, 594 F.3d 798, 807 (11</w:t>
      </w:r>
      <w:r w:rsidRPr="001A5CDE">
        <w:rPr>
          <w:rFonts w:eastAsia="Arial" w:cs="Times New Roman"/>
          <w:sz w:val="26"/>
          <w:szCs w:val="26"/>
          <w:vertAlign w:val="superscript"/>
        </w:rPr>
        <w:t>th</w:t>
      </w:r>
      <w:r w:rsidRPr="001A5CDE">
        <w:rPr>
          <w:rFonts w:eastAsia="Arial" w:cs="Times New Roman"/>
          <w:sz w:val="26"/>
          <w:szCs w:val="26"/>
        </w:rPr>
        <w:t xml:space="preserve"> Cir. 2010) (en banc) (internal quotation marks omitted).</w:t>
      </w:r>
    </w:p>
    <w:p w14:paraId="0D633753" w14:textId="77777777" w:rsidR="001A5CDE" w:rsidRPr="001A5CDE" w:rsidRDefault="001A5CDE" w:rsidP="0096077B">
      <w:pPr>
        <w:spacing w:line="240" w:lineRule="auto"/>
        <w:ind w:firstLine="720"/>
        <w:jc w:val="both"/>
        <w:rPr>
          <w:rFonts w:eastAsia="Arial" w:cs="Times New Roman"/>
          <w:sz w:val="26"/>
          <w:szCs w:val="26"/>
        </w:rPr>
      </w:pPr>
      <w:r w:rsidRPr="001A5CDE">
        <w:rPr>
          <w:rFonts w:eastAsia="Arial" w:cs="Times New Roman"/>
          <w:sz w:val="26"/>
          <w:szCs w:val="26"/>
        </w:rPr>
        <w:t xml:space="preserve">Pattern Instruction 4.6 provides instructions for Title VII workplace harassment by a supervisor. Pattern Instruction 4.7 provides instructions for Title VII workplace harassment by a co-worker and may also be used where the alleged harasser is a third party, such as a customer. </w:t>
      </w:r>
      <w:r w:rsidRPr="001A5CDE">
        <w:rPr>
          <w:rFonts w:eastAsia="Arial" w:cs="Times New Roman"/>
          <w:i/>
          <w:sz w:val="26"/>
          <w:szCs w:val="26"/>
        </w:rPr>
        <w:t>E.g., Watson v. Blue Circle, Inc.</w:t>
      </w:r>
      <w:r w:rsidRPr="001A5CDE">
        <w:rPr>
          <w:rFonts w:eastAsia="Arial" w:cs="Times New Roman"/>
          <w:sz w:val="26"/>
          <w:szCs w:val="26"/>
        </w:rPr>
        <w:t>, 324 F.3d 1252, 1258 n.2 (11</w:t>
      </w:r>
      <w:r w:rsidRPr="001A5CDE">
        <w:rPr>
          <w:rFonts w:eastAsia="Arial" w:cs="Times New Roman"/>
          <w:sz w:val="26"/>
          <w:szCs w:val="26"/>
          <w:vertAlign w:val="superscript"/>
        </w:rPr>
        <w:t>th</w:t>
      </w:r>
      <w:r w:rsidRPr="001A5CDE">
        <w:rPr>
          <w:rFonts w:eastAsia="Arial" w:cs="Times New Roman"/>
          <w:sz w:val="26"/>
          <w:szCs w:val="26"/>
        </w:rPr>
        <w:t xml:space="preserve"> Cir. 2003).</w:t>
      </w:r>
    </w:p>
    <w:p w14:paraId="324E351C" w14:textId="77777777" w:rsidR="001A5CDE" w:rsidRPr="001A5CDE" w:rsidRDefault="001A5CDE" w:rsidP="0096077B">
      <w:pPr>
        <w:spacing w:line="240" w:lineRule="auto"/>
        <w:ind w:firstLine="720"/>
        <w:jc w:val="both"/>
        <w:rPr>
          <w:rFonts w:eastAsia="Arial" w:cs="Times New Roman"/>
          <w:b/>
          <w:sz w:val="26"/>
          <w:szCs w:val="26"/>
        </w:rPr>
      </w:pPr>
      <w:r w:rsidRPr="001A5CDE">
        <w:rPr>
          <w:rFonts w:eastAsia="Arial" w:cs="Times New Roman"/>
          <w:b/>
          <w:sz w:val="26"/>
          <w:szCs w:val="26"/>
        </w:rPr>
        <w:fldChar w:fldCharType="begin"/>
      </w:r>
      <w:r w:rsidRPr="001A5CDE">
        <w:rPr>
          <w:rFonts w:eastAsia="Arial" w:cs="Times New Roman"/>
          <w:b/>
          <w:sz w:val="26"/>
          <w:szCs w:val="26"/>
        </w:rPr>
        <w:instrText xml:space="preserve"> LISTNUM  OutlineDefault \l 2 \s 1 </w:instrText>
      </w:r>
      <w:r w:rsidRPr="001A5CDE">
        <w:rPr>
          <w:rFonts w:eastAsia="Arial" w:cs="Times New Roman"/>
          <w:b/>
          <w:sz w:val="26"/>
          <w:szCs w:val="26"/>
        </w:rPr>
        <w:fldChar w:fldCharType="end"/>
      </w:r>
      <w:r w:rsidRPr="001A5CDE">
        <w:rPr>
          <w:rFonts w:eastAsia="Arial" w:cs="Times New Roman"/>
          <w:b/>
          <w:sz w:val="26"/>
          <w:szCs w:val="26"/>
        </w:rPr>
        <w:t xml:space="preserve"> Not </w:t>
      </w:r>
      <w:proofErr w:type="gramStart"/>
      <w:r w:rsidRPr="001A5CDE">
        <w:rPr>
          <w:rFonts w:eastAsia="Arial" w:cs="Times New Roman"/>
          <w:b/>
          <w:sz w:val="26"/>
          <w:szCs w:val="26"/>
        </w:rPr>
        <w:t>For</w:t>
      </w:r>
      <w:proofErr w:type="gramEnd"/>
      <w:r w:rsidRPr="001A5CDE">
        <w:rPr>
          <w:rFonts w:eastAsia="Arial" w:cs="Times New Roman"/>
          <w:b/>
          <w:sz w:val="26"/>
          <w:szCs w:val="26"/>
        </w:rPr>
        <w:t xml:space="preserve"> Tangible Employment Action Cases</w:t>
      </w:r>
    </w:p>
    <w:p w14:paraId="7D58315C" w14:textId="77777777" w:rsidR="001A5CDE" w:rsidRPr="001A5CDE" w:rsidRDefault="001A5CDE" w:rsidP="0096077B">
      <w:pPr>
        <w:spacing w:line="240" w:lineRule="auto"/>
        <w:ind w:firstLine="720"/>
        <w:jc w:val="both"/>
        <w:rPr>
          <w:rFonts w:eastAsia="Arial" w:cs="Times New Roman"/>
          <w:sz w:val="26"/>
          <w:szCs w:val="26"/>
        </w:rPr>
      </w:pPr>
      <w:r w:rsidRPr="001A5CDE">
        <w:rPr>
          <w:rFonts w:eastAsia="Arial" w:cs="Times New Roman"/>
          <w:sz w:val="26"/>
          <w:szCs w:val="26"/>
        </w:rPr>
        <w:t xml:space="preserve">Pattern Instruction 4.7 is intended to be used for any Title VII hostile work environment claim where there is no contention that the hostile work environment culminated in a “tangible employment action.” For those claims, Pattern Instruction 4.5, </w:t>
      </w:r>
      <w:r w:rsidRPr="001A5CDE">
        <w:rPr>
          <w:rFonts w:eastAsia="Arial" w:cs="Times New Roman"/>
          <w:i/>
          <w:sz w:val="26"/>
          <w:szCs w:val="26"/>
        </w:rPr>
        <w:t>supra</w:t>
      </w:r>
      <w:r w:rsidRPr="001A5CDE">
        <w:rPr>
          <w:rFonts w:eastAsia="Arial" w:cs="Times New Roman"/>
          <w:sz w:val="26"/>
          <w:szCs w:val="26"/>
        </w:rPr>
        <w:t xml:space="preserve">, or Pattern Instruction 4.8, </w:t>
      </w:r>
      <w:r w:rsidRPr="001A5CDE">
        <w:rPr>
          <w:rFonts w:eastAsia="Arial" w:cs="Times New Roman"/>
          <w:i/>
          <w:sz w:val="26"/>
          <w:szCs w:val="26"/>
        </w:rPr>
        <w:t>infra</w:t>
      </w:r>
      <w:r w:rsidRPr="001A5CDE">
        <w:rPr>
          <w:rFonts w:eastAsia="Arial" w:cs="Times New Roman"/>
          <w:sz w:val="26"/>
          <w:szCs w:val="26"/>
        </w:rPr>
        <w:t>, may be used. Pattern Instruction 4.5 is a general disparate treatment charge, and Pattern Instruction 4.8 applies to a subset of “tangible employment action” claims where the disparate treatment is alleged to be based on the refusal of unwelcome sexual advances.</w:t>
      </w:r>
    </w:p>
    <w:p w14:paraId="3B6A8D7C" w14:textId="77777777" w:rsidR="001A5CDE" w:rsidRPr="001A5CDE" w:rsidRDefault="001A5CDE" w:rsidP="0096077B">
      <w:pPr>
        <w:spacing w:line="240" w:lineRule="auto"/>
        <w:ind w:firstLine="720"/>
        <w:jc w:val="both"/>
        <w:rPr>
          <w:rFonts w:eastAsia="Arial" w:cs="Times New Roman"/>
          <w:sz w:val="26"/>
          <w:szCs w:val="26"/>
        </w:rPr>
      </w:pPr>
      <w:r w:rsidRPr="001A5CDE">
        <w:rPr>
          <w:rFonts w:eastAsia="Arial" w:cs="Times New Roman"/>
          <w:sz w:val="26"/>
          <w:szCs w:val="26"/>
        </w:rPr>
        <w:t xml:space="preserve">In a case where there is a factual dispute as to whether the hostile work environment culminated in a tangible employment action, it may be necessary to combine the instructions and to instruct the jury on the definition of “tangible employment action.” “‘A tangible employment action constitutes a significant change in employment status, such as hiring, firing, failing to promote, reassignment with significantly different responsibilities, or a decision causing a significant change in benefits.’” </w:t>
      </w:r>
      <w:r w:rsidRPr="001A5CDE">
        <w:rPr>
          <w:rFonts w:eastAsia="Arial" w:cs="Times New Roman"/>
          <w:i/>
          <w:sz w:val="26"/>
          <w:szCs w:val="26"/>
        </w:rPr>
        <w:t>Cotton v. Cracker Barrel Old Country Store, Inc.</w:t>
      </w:r>
      <w:r w:rsidRPr="001A5CDE">
        <w:rPr>
          <w:rFonts w:eastAsia="Arial" w:cs="Times New Roman"/>
          <w:sz w:val="26"/>
          <w:szCs w:val="26"/>
        </w:rPr>
        <w:t>, 434 F.3d 1227, 1231 (11</w:t>
      </w:r>
      <w:r w:rsidRPr="001A5CDE">
        <w:rPr>
          <w:rFonts w:eastAsia="Arial" w:cs="Times New Roman"/>
          <w:sz w:val="26"/>
          <w:szCs w:val="26"/>
          <w:vertAlign w:val="superscript"/>
        </w:rPr>
        <w:t>th</w:t>
      </w:r>
      <w:r w:rsidRPr="001A5CDE">
        <w:rPr>
          <w:rFonts w:eastAsia="Arial" w:cs="Times New Roman"/>
          <w:sz w:val="26"/>
          <w:szCs w:val="26"/>
        </w:rPr>
        <w:t xml:space="preserve"> Cir. 2006) (quoting </w:t>
      </w:r>
      <w:r w:rsidRPr="001A5CDE">
        <w:rPr>
          <w:rFonts w:eastAsia="Arial" w:cs="Times New Roman"/>
          <w:i/>
          <w:sz w:val="26"/>
          <w:szCs w:val="26"/>
        </w:rPr>
        <w:t xml:space="preserve">Burlington Indus., Inc. v. </w:t>
      </w:r>
      <w:proofErr w:type="spellStart"/>
      <w:r w:rsidRPr="001A5CDE">
        <w:rPr>
          <w:rFonts w:eastAsia="Arial" w:cs="Times New Roman"/>
          <w:i/>
          <w:sz w:val="26"/>
          <w:szCs w:val="26"/>
        </w:rPr>
        <w:t>Ellerth</w:t>
      </w:r>
      <w:proofErr w:type="spellEnd"/>
      <w:r w:rsidRPr="001A5CDE">
        <w:rPr>
          <w:rFonts w:eastAsia="Arial" w:cs="Times New Roman"/>
          <w:sz w:val="26"/>
          <w:szCs w:val="26"/>
        </w:rPr>
        <w:t>, 524 U.S. 742, 761 (1998)).</w:t>
      </w:r>
    </w:p>
    <w:p w14:paraId="01C299A7" w14:textId="77777777" w:rsidR="001A5CDE" w:rsidRPr="001A5CDE" w:rsidRDefault="001A5CDE" w:rsidP="0096077B">
      <w:pPr>
        <w:spacing w:line="240" w:lineRule="auto"/>
        <w:ind w:firstLine="720"/>
        <w:jc w:val="both"/>
        <w:rPr>
          <w:rFonts w:eastAsia="Arial" w:cs="Times New Roman"/>
          <w:b/>
          <w:sz w:val="26"/>
          <w:szCs w:val="26"/>
        </w:rPr>
      </w:pPr>
      <w:r w:rsidRPr="001A5CDE">
        <w:rPr>
          <w:rFonts w:eastAsia="Arial" w:cs="Times New Roman"/>
          <w:b/>
          <w:sz w:val="26"/>
          <w:szCs w:val="26"/>
        </w:rPr>
        <w:fldChar w:fldCharType="begin"/>
      </w:r>
      <w:r w:rsidRPr="001A5CDE">
        <w:rPr>
          <w:rFonts w:eastAsia="Arial" w:cs="Times New Roman"/>
          <w:b/>
          <w:sz w:val="26"/>
          <w:szCs w:val="26"/>
        </w:rPr>
        <w:instrText xml:space="preserve"> LISTNUM  OutlineDefault \l 2 \s 2 </w:instrText>
      </w:r>
      <w:r w:rsidRPr="001A5CDE">
        <w:rPr>
          <w:rFonts w:eastAsia="Arial" w:cs="Times New Roman"/>
          <w:b/>
          <w:sz w:val="26"/>
          <w:szCs w:val="26"/>
        </w:rPr>
        <w:fldChar w:fldCharType="end"/>
      </w:r>
      <w:r w:rsidRPr="001A5CDE">
        <w:rPr>
          <w:rFonts w:eastAsia="Arial" w:cs="Times New Roman"/>
          <w:b/>
          <w:sz w:val="26"/>
          <w:szCs w:val="26"/>
        </w:rPr>
        <w:t xml:space="preserve"> Retaliatory Hostile Work Environment Cases</w:t>
      </w:r>
    </w:p>
    <w:p w14:paraId="218D59B6" w14:textId="77777777" w:rsidR="001A5CDE" w:rsidRPr="001A5CDE" w:rsidRDefault="001A5CDE" w:rsidP="0096077B">
      <w:pPr>
        <w:spacing w:line="240" w:lineRule="auto"/>
        <w:ind w:firstLine="720"/>
        <w:jc w:val="both"/>
        <w:rPr>
          <w:rFonts w:eastAsia="Arial" w:cs="Times New Roman"/>
          <w:sz w:val="26"/>
          <w:szCs w:val="26"/>
        </w:rPr>
      </w:pPr>
      <w:r w:rsidRPr="001A5CDE">
        <w:rPr>
          <w:rFonts w:eastAsia="Arial" w:cs="Times New Roman"/>
          <w:sz w:val="26"/>
          <w:szCs w:val="26"/>
        </w:rPr>
        <w:t xml:space="preserve">The Eleventh Circuit recognized a cause of action for retaliatory hostile work environment under Title VII. </w:t>
      </w:r>
      <w:proofErr w:type="spellStart"/>
      <w:r w:rsidRPr="001A5CDE">
        <w:rPr>
          <w:rFonts w:eastAsia="Arial" w:cs="Times New Roman"/>
          <w:i/>
          <w:sz w:val="26"/>
          <w:szCs w:val="26"/>
        </w:rPr>
        <w:t>Gowski</w:t>
      </w:r>
      <w:proofErr w:type="spellEnd"/>
      <w:r w:rsidRPr="001A5CDE">
        <w:rPr>
          <w:rFonts w:eastAsia="Arial" w:cs="Times New Roman"/>
          <w:i/>
          <w:sz w:val="26"/>
          <w:szCs w:val="26"/>
        </w:rPr>
        <w:t xml:space="preserve"> v. Peake</w:t>
      </w:r>
      <w:r w:rsidRPr="001A5CDE">
        <w:rPr>
          <w:rFonts w:eastAsia="Arial" w:cs="Times New Roman"/>
          <w:sz w:val="26"/>
          <w:szCs w:val="26"/>
        </w:rPr>
        <w:t>, 682 F.3d 1299, 1312 (11</w:t>
      </w:r>
      <w:r w:rsidRPr="001A5CDE">
        <w:rPr>
          <w:rFonts w:eastAsia="Arial" w:cs="Times New Roman"/>
          <w:sz w:val="26"/>
          <w:szCs w:val="26"/>
          <w:vertAlign w:val="superscript"/>
        </w:rPr>
        <w:t>th</w:t>
      </w:r>
      <w:r w:rsidRPr="001A5CDE">
        <w:rPr>
          <w:rFonts w:eastAsia="Arial" w:cs="Times New Roman"/>
          <w:sz w:val="26"/>
          <w:szCs w:val="26"/>
        </w:rPr>
        <w:t xml:space="preserve"> Cir. 2012). The Eleventh Circuit in </w:t>
      </w:r>
      <w:proofErr w:type="spellStart"/>
      <w:r w:rsidRPr="001A5CDE">
        <w:rPr>
          <w:rFonts w:eastAsia="Arial" w:cs="Times New Roman"/>
          <w:i/>
          <w:sz w:val="26"/>
          <w:szCs w:val="26"/>
        </w:rPr>
        <w:t>Gowski</w:t>
      </w:r>
      <w:proofErr w:type="spellEnd"/>
      <w:r w:rsidRPr="001A5CDE">
        <w:rPr>
          <w:rFonts w:eastAsia="Arial" w:cs="Times New Roman"/>
          <w:sz w:val="26"/>
          <w:szCs w:val="26"/>
        </w:rPr>
        <w:t xml:space="preserve"> applied the “severe or pervasive” requirement for a hostile work environment claim that is described in Pattern Instruction 4.7 (and not the “materially adverse action” standard applied to retaliation claims under </w:t>
      </w:r>
      <w:r w:rsidRPr="001A5CDE">
        <w:rPr>
          <w:rFonts w:eastAsia="Arial" w:cs="Times New Roman"/>
          <w:i/>
          <w:sz w:val="26"/>
          <w:szCs w:val="26"/>
        </w:rPr>
        <w:t>Burlington Northern and Santa Fe Railway Co. v. White</w:t>
      </w:r>
      <w:r w:rsidRPr="001A5CDE">
        <w:rPr>
          <w:rFonts w:eastAsia="Arial" w:cs="Times New Roman"/>
          <w:sz w:val="26"/>
          <w:szCs w:val="26"/>
        </w:rPr>
        <w:t xml:space="preserve">, 548 U.S. 53 (2006)), so Pattern Instruction 4.7 may be modified for use in a retaliatory hostile work environment case – the main difference would be that </w:t>
      </w:r>
      <w:r w:rsidRPr="001A5CDE">
        <w:rPr>
          <w:rFonts w:eastAsia="Arial" w:cs="Times New Roman"/>
          <w:sz w:val="26"/>
          <w:szCs w:val="26"/>
        </w:rPr>
        <w:lastRenderedPageBreak/>
        <w:t xml:space="preserve">the questions regarding whether protected status motivated the hostile work environment would need to ask whether protected activity motivated the hostile work environment. If there is a fact dispute regarding whether the plaintiff engaged in protected activity, then instructions and interrogatories from Pattern Instruction 4.21, </w:t>
      </w:r>
      <w:r w:rsidRPr="001A5CDE">
        <w:rPr>
          <w:rFonts w:eastAsia="Arial" w:cs="Times New Roman"/>
          <w:i/>
          <w:sz w:val="26"/>
          <w:szCs w:val="26"/>
        </w:rPr>
        <w:t>infra</w:t>
      </w:r>
      <w:r w:rsidRPr="001A5CDE">
        <w:rPr>
          <w:rFonts w:eastAsia="Arial" w:cs="Times New Roman"/>
          <w:sz w:val="26"/>
          <w:szCs w:val="26"/>
        </w:rPr>
        <w:t>, should be inserted into Pattern Instruction 4.7.</w:t>
      </w:r>
    </w:p>
    <w:p w14:paraId="46B75DE1" w14:textId="77777777" w:rsidR="001A5CDE" w:rsidRPr="001A5CDE" w:rsidRDefault="001A5CDE" w:rsidP="0096077B">
      <w:pPr>
        <w:spacing w:line="240" w:lineRule="auto"/>
        <w:jc w:val="both"/>
        <w:rPr>
          <w:rFonts w:eastAsia="Arial" w:cs="Times New Roman"/>
          <w:b/>
          <w:sz w:val="26"/>
          <w:szCs w:val="26"/>
        </w:rPr>
      </w:pPr>
      <w:r w:rsidRPr="001A5CDE">
        <w:rPr>
          <w:rFonts w:eastAsia="Arial" w:cs="Times New Roman"/>
          <w:b/>
          <w:sz w:val="26"/>
          <w:szCs w:val="26"/>
        </w:rPr>
        <w:fldChar w:fldCharType="begin"/>
      </w:r>
      <w:r w:rsidRPr="001A5CDE">
        <w:rPr>
          <w:rFonts w:eastAsia="Arial" w:cs="Times New Roman"/>
          <w:b/>
          <w:sz w:val="26"/>
          <w:szCs w:val="26"/>
        </w:rPr>
        <w:instrText xml:space="preserve"> LISTNUM  OutlineDefault \l 1 \s 2 </w:instrText>
      </w:r>
      <w:r w:rsidRPr="001A5CDE">
        <w:rPr>
          <w:rFonts w:eastAsia="Arial" w:cs="Times New Roman"/>
          <w:b/>
          <w:sz w:val="26"/>
          <w:szCs w:val="26"/>
        </w:rPr>
        <w:fldChar w:fldCharType="end"/>
      </w:r>
      <w:r w:rsidRPr="001A5CDE">
        <w:rPr>
          <w:rFonts w:eastAsia="Arial" w:cs="Times New Roman"/>
          <w:b/>
          <w:sz w:val="26"/>
          <w:szCs w:val="26"/>
        </w:rPr>
        <w:t xml:space="preserve"> Elements and Defenses</w:t>
      </w:r>
    </w:p>
    <w:p w14:paraId="03996B84" w14:textId="77777777" w:rsidR="001A5CDE" w:rsidRPr="001A5CDE" w:rsidRDefault="001A5CDE" w:rsidP="0096077B">
      <w:pPr>
        <w:spacing w:line="240" w:lineRule="auto"/>
        <w:ind w:firstLine="720"/>
        <w:jc w:val="both"/>
        <w:rPr>
          <w:rFonts w:eastAsia="Arial" w:cs="Times New Roman"/>
          <w:sz w:val="26"/>
          <w:szCs w:val="26"/>
        </w:rPr>
      </w:pPr>
      <w:r w:rsidRPr="001A5CDE">
        <w:rPr>
          <w:rFonts w:eastAsia="Arial" w:cs="Times New Roman"/>
          <w:sz w:val="26"/>
          <w:szCs w:val="26"/>
        </w:rPr>
        <w:t xml:space="preserve">The definition of a hostile work environment is adapted from </w:t>
      </w:r>
      <w:r w:rsidRPr="001A5CDE">
        <w:rPr>
          <w:rFonts w:eastAsia="Arial" w:cs="Times New Roman"/>
          <w:i/>
          <w:sz w:val="26"/>
          <w:szCs w:val="26"/>
        </w:rPr>
        <w:t>Harris v. Forklift Systems, Inc.</w:t>
      </w:r>
      <w:r w:rsidRPr="001A5CDE">
        <w:rPr>
          <w:rFonts w:eastAsia="Arial" w:cs="Times New Roman"/>
          <w:sz w:val="26"/>
          <w:szCs w:val="26"/>
        </w:rPr>
        <w:t xml:space="preserve">, 510 U.S. 17, 21-23 (1993). </w:t>
      </w:r>
      <w:r w:rsidRPr="001A5CDE">
        <w:rPr>
          <w:rFonts w:eastAsia="Arial" w:cs="Times New Roman"/>
          <w:i/>
          <w:sz w:val="26"/>
          <w:szCs w:val="26"/>
        </w:rPr>
        <w:t>Reeves v. C.H. Robinson Worldwide, Inc.</w:t>
      </w:r>
      <w:r w:rsidRPr="001A5CDE">
        <w:rPr>
          <w:rFonts w:eastAsia="Arial" w:cs="Times New Roman"/>
          <w:sz w:val="26"/>
          <w:szCs w:val="26"/>
        </w:rPr>
        <w:t>, 594 F.3d 798, 808-11 (11</w:t>
      </w:r>
      <w:r w:rsidRPr="001A5CDE">
        <w:rPr>
          <w:rFonts w:eastAsia="Arial" w:cs="Times New Roman"/>
          <w:sz w:val="26"/>
          <w:szCs w:val="26"/>
          <w:vertAlign w:val="superscript"/>
        </w:rPr>
        <w:t>th</w:t>
      </w:r>
      <w:r w:rsidRPr="001A5CDE">
        <w:rPr>
          <w:rFonts w:eastAsia="Arial" w:cs="Times New Roman"/>
          <w:sz w:val="26"/>
          <w:szCs w:val="26"/>
        </w:rPr>
        <w:t xml:space="preserve"> Cir. 2010) (en banc); </w:t>
      </w:r>
      <w:r w:rsidRPr="001A5CDE">
        <w:rPr>
          <w:rFonts w:eastAsia="Arial" w:cs="Times New Roman"/>
          <w:i/>
          <w:sz w:val="26"/>
          <w:szCs w:val="26"/>
        </w:rPr>
        <w:t>Mendoza v. Borden, Inc.</w:t>
      </w:r>
      <w:r w:rsidRPr="001A5CDE">
        <w:rPr>
          <w:rFonts w:eastAsia="Arial" w:cs="Times New Roman"/>
          <w:sz w:val="26"/>
          <w:szCs w:val="26"/>
        </w:rPr>
        <w:t>, 195 F.3d 1238, 1245-46 (11</w:t>
      </w:r>
      <w:r w:rsidRPr="001A5CDE">
        <w:rPr>
          <w:rFonts w:eastAsia="Arial" w:cs="Times New Roman"/>
          <w:sz w:val="26"/>
          <w:szCs w:val="26"/>
          <w:vertAlign w:val="superscript"/>
        </w:rPr>
        <w:t>th</w:t>
      </w:r>
      <w:r w:rsidRPr="001A5CDE">
        <w:rPr>
          <w:rFonts w:eastAsia="Arial" w:cs="Times New Roman"/>
          <w:sz w:val="26"/>
          <w:szCs w:val="26"/>
        </w:rPr>
        <w:t xml:space="preserve"> Cir. 1999) (en banc).</w:t>
      </w:r>
    </w:p>
    <w:p w14:paraId="2FBE5436" w14:textId="77777777" w:rsidR="001A5CDE" w:rsidRPr="001A5CDE" w:rsidRDefault="001A5CDE" w:rsidP="0096077B">
      <w:pPr>
        <w:spacing w:line="240" w:lineRule="auto"/>
        <w:ind w:firstLine="720"/>
        <w:jc w:val="both"/>
        <w:rPr>
          <w:rFonts w:eastAsia="Arial" w:cs="Times New Roman"/>
          <w:b/>
          <w:sz w:val="26"/>
          <w:szCs w:val="26"/>
        </w:rPr>
      </w:pPr>
      <w:r w:rsidRPr="001A5CDE">
        <w:rPr>
          <w:rFonts w:eastAsia="Arial" w:cs="Times New Roman"/>
          <w:b/>
          <w:sz w:val="26"/>
          <w:szCs w:val="26"/>
        </w:rPr>
        <w:fldChar w:fldCharType="begin"/>
      </w:r>
      <w:r w:rsidRPr="001A5CDE">
        <w:rPr>
          <w:rFonts w:eastAsia="Arial" w:cs="Times New Roman"/>
          <w:b/>
          <w:sz w:val="26"/>
          <w:szCs w:val="26"/>
        </w:rPr>
        <w:instrText xml:space="preserve"> LISTNUM  OutlineDefault \l 2 \s 1 </w:instrText>
      </w:r>
      <w:r w:rsidRPr="001A5CDE">
        <w:rPr>
          <w:rFonts w:eastAsia="Arial" w:cs="Times New Roman"/>
          <w:b/>
          <w:sz w:val="26"/>
          <w:szCs w:val="26"/>
        </w:rPr>
        <w:fldChar w:fldCharType="end"/>
      </w:r>
      <w:r w:rsidRPr="001A5CDE">
        <w:rPr>
          <w:rFonts w:eastAsia="Arial" w:cs="Times New Roman"/>
          <w:b/>
          <w:sz w:val="26"/>
          <w:szCs w:val="26"/>
        </w:rPr>
        <w:t xml:space="preserve"> “Because of” the Protected Trait</w:t>
      </w:r>
    </w:p>
    <w:p w14:paraId="33B16A5E" w14:textId="77777777" w:rsidR="001A5CDE" w:rsidRPr="001A5CDE" w:rsidRDefault="001A5CDE" w:rsidP="0096077B">
      <w:pPr>
        <w:spacing w:line="240" w:lineRule="auto"/>
        <w:ind w:firstLine="720"/>
        <w:jc w:val="both"/>
        <w:rPr>
          <w:rFonts w:eastAsia="Arial" w:cs="Times New Roman"/>
          <w:sz w:val="26"/>
          <w:szCs w:val="26"/>
        </w:rPr>
      </w:pPr>
      <w:r w:rsidRPr="001A5CDE">
        <w:rPr>
          <w:rFonts w:eastAsia="Arial" w:cs="Times New Roman"/>
          <w:sz w:val="26"/>
          <w:szCs w:val="26"/>
        </w:rPr>
        <w:t xml:space="preserve">The plaintiff must prove that the hostile work environment was </w:t>
      </w:r>
      <w:r w:rsidRPr="001A5CDE">
        <w:rPr>
          <w:rFonts w:eastAsia="Arial" w:cs="Times New Roman"/>
          <w:i/>
          <w:sz w:val="26"/>
          <w:szCs w:val="26"/>
        </w:rPr>
        <w:t>because of</w:t>
      </w:r>
      <w:r w:rsidRPr="001A5CDE">
        <w:rPr>
          <w:rFonts w:eastAsia="Arial" w:cs="Times New Roman"/>
          <w:sz w:val="26"/>
          <w:szCs w:val="26"/>
        </w:rPr>
        <w:t xml:space="preserve"> the protected trait. </w:t>
      </w:r>
      <w:r w:rsidRPr="001A5CDE">
        <w:rPr>
          <w:rFonts w:eastAsia="Arial" w:cs="Times New Roman"/>
          <w:i/>
          <w:sz w:val="26"/>
          <w:szCs w:val="26"/>
        </w:rPr>
        <w:t>See Reeves v. C.H. Robinson Worldwide, Inc.</w:t>
      </w:r>
      <w:r w:rsidRPr="001A5CDE">
        <w:rPr>
          <w:rFonts w:eastAsia="Arial" w:cs="Times New Roman"/>
          <w:sz w:val="26"/>
          <w:szCs w:val="26"/>
        </w:rPr>
        <w:t>, 594 F.3d 798, 809 (11</w:t>
      </w:r>
      <w:r w:rsidRPr="001A5CDE">
        <w:rPr>
          <w:rFonts w:eastAsia="Arial" w:cs="Times New Roman"/>
          <w:sz w:val="26"/>
          <w:szCs w:val="26"/>
          <w:vertAlign w:val="superscript"/>
        </w:rPr>
        <w:t>th</w:t>
      </w:r>
      <w:r w:rsidRPr="001A5CDE">
        <w:rPr>
          <w:rFonts w:eastAsia="Arial" w:cs="Times New Roman"/>
          <w:sz w:val="26"/>
          <w:szCs w:val="26"/>
        </w:rPr>
        <w:t xml:space="preserve"> Cir. 2010) (en banc) (“Although gender-specific language that imposes a change in the terms or conditions of employment based on sex will violate Title VII, general vulgarity or references to sex that are indiscriminate in nature will not, standing alone, generally be actionable. Title VII is not a general civility code.”) (internal quotation marks omitted). “Evidence that co-workers aimed their insults at a protected group may give rise to the inference of an intent to discriminate on the basis of sex, even when those insults are not directed at the individual employee.” </w:t>
      </w:r>
      <w:r w:rsidRPr="001A5CDE">
        <w:rPr>
          <w:rFonts w:eastAsia="Arial" w:cs="Times New Roman"/>
          <w:i/>
          <w:sz w:val="26"/>
          <w:szCs w:val="26"/>
        </w:rPr>
        <w:t>Id</w:t>
      </w:r>
      <w:r w:rsidRPr="001A5CDE">
        <w:rPr>
          <w:rFonts w:eastAsia="Arial" w:cs="Times New Roman"/>
          <w:sz w:val="26"/>
          <w:szCs w:val="26"/>
        </w:rPr>
        <w:t>. at 811. Pattern Instruction 4.7 does not elaborate on the “because of” requirement.</w:t>
      </w:r>
    </w:p>
    <w:p w14:paraId="384A6E51" w14:textId="77777777" w:rsidR="001A5CDE" w:rsidRPr="001A5CDE" w:rsidRDefault="001A5CDE" w:rsidP="0096077B">
      <w:pPr>
        <w:spacing w:line="240" w:lineRule="auto"/>
        <w:ind w:firstLine="720"/>
        <w:jc w:val="both"/>
        <w:rPr>
          <w:rFonts w:eastAsia="Arial" w:cs="Times New Roman"/>
          <w:b/>
          <w:sz w:val="26"/>
          <w:szCs w:val="26"/>
        </w:rPr>
      </w:pPr>
      <w:r w:rsidRPr="001A5CDE">
        <w:rPr>
          <w:rFonts w:eastAsia="Arial" w:cs="Times New Roman"/>
          <w:b/>
          <w:sz w:val="26"/>
          <w:szCs w:val="26"/>
        </w:rPr>
        <w:fldChar w:fldCharType="begin"/>
      </w:r>
      <w:r w:rsidRPr="001A5CDE">
        <w:rPr>
          <w:rFonts w:eastAsia="Arial" w:cs="Times New Roman"/>
          <w:b/>
          <w:sz w:val="26"/>
          <w:szCs w:val="26"/>
        </w:rPr>
        <w:instrText xml:space="preserve"> LISTNUM  OutlineDefault \l 2 \s 2 </w:instrText>
      </w:r>
      <w:r w:rsidRPr="001A5CDE">
        <w:rPr>
          <w:rFonts w:eastAsia="Arial" w:cs="Times New Roman"/>
          <w:b/>
          <w:sz w:val="26"/>
          <w:szCs w:val="26"/>
        </w:rPr>
        <w:fldChar w:fldCharType="end"/>
      </w:r>
      <w:r w:rsidRPr="001A5CDE">
        <w:rPr>
          <w:rFonts w:eastAsia="Arial" w:cs="Times New Roman"/>
          <w:b/>
          <w:sz w:val="26"/>
          <w:szCs w:val="26"/>
        </w:rPr>
        <w:t xml:space="preserve"> Prompt Remedial Action</w:t>
      </w:r>
    </w:p>
    <w:p w14:paraId="1A76EEEC" w14:textId="77777777" w:rsidR="001A5CDE" w:rsidRPr="001A5CDE" w:rsidRDefault="001A5CDE" w:rsidP="0096077B">
      <w:pPr>
        <w:spacing w:line="240" w:lineRule="auto"/>
        <w:ind w:firstLine="720"/>
        <w:jc w:val="both"/>
        <w:rPr>
          <w:rFonts w:eastAsia="Arial" w:cs="Times New Roman"/>
          <w:sz w:val="26"/>
          <w:szCs w:val="26"/>
        </w:rPr>
      </w:pPr>
      <w:r w:rsidRPr="001A5CDE">
        <w:rPr>
          <w:rFonts w:eastAsia="Arial" w:cs="Times New Roman"/>
          <w:sz w:val="26"/>
          <w:szCs w:val="26"/>
        </w:rPr>
        <w:t xml:space="preserve">An employer may be held liable under Title VII for the harassing conduct of its non-supervisory employees, customers, or other third parties “if the employer fails to take immediate and appropriate corrective action in response to a hostile work environment of which the employer knew or reasonably should have known.” </w:t>
      </w:r>
      <w:r w:rsidRPr="001A5CDE">
        <w:rPr>
          <w:rFonts w:eastAsia="Arial" w:cs="Times New Roman"/>
          <w:i/>
          <w:sz w:val="26"/>
          <w:szCs w:val="26"/>
        </w:rPr>
        <w:t>Beckford v. Dep’t of Corr.</w:t>
      </w:r>
      <w:r w:rsidRPr="001A5CDE">
        <w:rPr>
          <w:rFonts w:eastAsia="Arial" w:cs="Times New Roman"/>
          <w:sz w:val="26"/>
          <w:szCs w:val="26"/>
        </w:rPr>
        <w:t>, 605 F.3d 951, 957-58 (11</w:t>
      </w:r>
      <w:r w:rsidRPr="001A5CDE">
        <w:rPr>
          <w:rFonts w:eastAsia="Arial" w:cs="Times New Roman"/>
          <w:sz w:val="26"/>
          <w:szCs w:val="26"/>
          <w:vertAlign w:val="superscript"/>
        </w:rPr>
        <w:t>th</w:t>
      </w:r>
      <w:r w:rsidRPr="001A5CDE">
        <w:rPr>
          <w:rFonts w:eastAsia="Arial" w:cs="Times New Roman"/>
          <w:sz w:val="26"/>
          <w:szCs w:val="26"/>
        </w:rPr>
        <w:t xml:space="preserve"> Cir. 2010) (finding that prison could be held liable for harassing conduct of inmates). Pattern instruction 4.7 does not define “prompt remedial action.”</w:t>
      </w:r>
    </w:p>
    <w:p w14:paraId="5FB890E0" w14:textId="77777777" w:rsidR="001A5CDE" w:rsidRPr="001A5CDE" w:rsidRDefault="001A5CDE" w:rsidP="0096077B">
      <w:pPr>
        <w:spacing w:line="240" w:lineRule="auto"/>
        <w:ind w:firstLine="720"/>
        <w:jc w:val="both"/>
        <w:rPr>
          <w:rFonts w:eastAsia="Arial" w:cs="Times New Roman"/>
          <w:b/>
          <w:sz w:val="26"/>
          <w:szCs w:val="26"/>
        </w:rPr>
      </w:pPr>
      <w:r w:rsidRPr="001A5CDE">
        <w:rPr>
          <w:rFonts w:eastAsia="Arial" w:cs="Times New Roman"/>
          <w:b/>
          <w:sz w:val="26"/>
          <w:szCs w:val="26"/>
        </w:rPr>
        <w:fldChar w:fldCharType="begin"/>
      </w:r>
      <w:r w:rsidRPr="001A5CDE">
        <w:rPr>
          <w:rFonts w:eastAsia="Arial" w:cs="Times New Roman"/>
          <w:b/>
          <w:sz w:val="26"/>
          <w:szCs w:val="26"/>
        </w:rPr>
        <w:instrText xml:space="preserve"> LISTNUM  OutlineDefault \l 2 \s 3 </w:instrText>
      </w:r>
      <w:r w:rsidRPr="001A5CDE">
        <w:rPr>
          <w:rFonts w:eastAsia="Arial" w:cs="Times New Roman"/>
          <w:b/>
          <w:sz w:val="26"/>
          <w:szCs w:val="26"/>
        </w:rPr>
        <w:fldChar w:fldCharType="end"/>
      </w:r>
      <w:r w:rsidRPr="001A5CDE">
        <w:rPr>
          <w:rFonts w:eastAsia="Arial" w:cs="Times New Roman"/>
          <w:b/>
          <w:sz w:val="26"/>
          <w:szCs w:val="26"/>
        </w:rPr>
        <w:t xml:space="preserve"> Affirmative Defense</w:t>
      </w:r>
    </w:p>
    <w:p w14:paraId="469AC39B" w14:textId="77777777" w:rsidR="001A5CDE" w:rsidRPr="001A5CDE" w:rsidRDefault="001A5CDE" w:rsidP="0096077B">
      <w:pPr>
        <w:spacing w:line="240" w:lineRule="auto"/>
        <w:ind w:firstLine="720"/>
        <w:jc w:val="both"/>
        <w:rPr>
          <w:rFonts w:eastAsia="Arial" w:cs="Times New Roman"/>
          <w:sz w:val="26"/>
          <w:szCs w:val="26"/>
        </w:rPr>
      </w:pPr>
      <w:r w:rsidRPr="001A5CDE">
        <w:rPr>
          <w:rFonts w:eastAsia="Arial" w:cs="Times New Roman"/>
          <w:sz w:val="26"/>
          <w:szCs w:val="26"/>
        </w:rPr>
        <w:t xml:space="preserve">The Supreme Court recognized an affirmative defense to hostile work environment claims </w:t>
      </w:r>
      <w:r w:rsidRPr="001A5CDE">
        <w:rPr>
          <w:rFonts w:eastAsia="Arial" w:cs="Times New Roman"/>
          <w:i/>
          <w:sz w:val="26"/>
          <w:szCs w:val="26"/>
        </w:rPr>
        <w:t>Faragher v. City of Boca Raton</w:t>
      </w:r>
      <w:r w:rsidRPr="001A5CDE">
        <w:rPr>
          <w:rFonts w:eastAsia="Arial" w:cs="Times New Roman"/>
          <w:sz w:val="26"/>
          <w:szCs w:val="26"/>
        </w:rPr>
        <w:t xml:space="preserve">, 524 U.S. 775, 807-08 (1998). Under this defense, an employer may be held vicariously liable “for an actionable hostile environment created by a supervisor with immediate (or successively higher) authority over the employee. When no tangible employment action is taken, a defending employer may raise an affirmative defense to liability or damages, subject to proof by a preponderance of the evidence.” </w:t>
      </w:r>
      <w:r w:rsidRPr="001A5CDE">
        <w:rPr>
          <w:rFonts w:eastAsia="Arial" w:cs="Times New Roman"/>
          <w:i/>
          <w:sz w:val="26"/>
          <w:szCs w:val="26"/>
        </w:rPr>
        <w:t>Id</w:t>
      </w:r>
      <w:r w:rsidRPr="001A5CDE">
        <w:rPr>
          <w:rFonts w:eastAsia="Arial" w:cs="Times New Roman"/>
          <w:sz w:val="26"/>
          <w:szCs w:val="26"/>
        </w:rPr>
        <w:t xml:space="preserve">. at 807. “The defense comprises two necessary elements: </w:t>
      </w:r>
      <w:r w:rsidRPr="001A5CDE">
        <w:rPr>
          <w:rFonts w:eastAsia="Arial" w:cs="Times New Roman"/>
          <w:sz w:val="26"/>
          <w:szCs w:val="26"/>
        </w:rPr>
        <w:fldChar w:fldCharType="begin"/>
      </w:r>
      <w:r w:rsidRPr="001A5CDE">
        <w:rPr>
          <w:rFonts w:eastAsia="Arial" w:cs="Times New Roman"/>
          <w:sz w:val="26"/>
          <w:szCs w:val="26"/>
        </w:rPr>
        <w:instrText xml:space="preserve"> LISTNUM  NumberDefault \l 5 \s 1 </w:instrText>
      </w:r>
      <w:r w:rsidRPr="001A5CDE">
        <w:rPr>
          <w:rFonts w:eastAsia="Arial" w:cs="Times New Roman"/>
          <w:sz w:val="26"/>
          <w:szCs w:val="26"/>
        </w:rPr>
        <w:fldChar w:fldCharType="end"/>
      </w:r>
      <w:r w:rsidRPr="001A5CDE">
        <w:rPr>
          <w:rFonts w:eastAsia="Arial" w:cs="Times New Roman"/>
          <w:sz w:val="26"/>
          <w:szCs w:val="26"/>
        </w:rPr>
        <w:t xml:space="preserve"> that the employer exercised reasonable care to prevent and correct promptly any sexually harassing </w:t>
      </w:r>
      <w:r w:rsidRPr="001A5CDE">
        <w:rPr>
          <w:rFonts w:eastAsia="Arial" w:cs="Times New Roman"/>
          <w:sz w:val="26"/>
          <w:szCs w:val="26"/>
        </w:rPr>
        <w:lastRenderedPageBreak/>
        <w:t xml:space="preserve">behavior, and </w:t>
      </w:r>
      <w:r w:rsidRPr="001A5CDE">
        <w:rPr>
          <w:rFonts w:eastAsia="Arial" w:cs="Times New Roman"/>
          <w:sz w:val="26"/>
          <w:szCs w:val="26"/>
        </w:rPr>
        <w:fldChar w:fldCharType="begin"/>
      </w:r>
      <w:r w:rsidRPr="001A5CDE">
        <w:rPr>
          <w:rFonts w:eastAsia="Arial" w:cs="Times New Roman"/>
          <w:sz w:val="26"/>
          <w:szCs w:val="26"/>
        </w:rPr>
        <w:instrText xml:space="preserve"> LISTNUM  NumberDefault \l 5 \s 2 </w:instrText>
      </w:r>
      <w:r w:rsidRPr="001A5CDE">
        <w:rPr>
          <w:rFonts w:eastAsia="Arial" w:cs="Times New Roman"/>
          <w:sz w:val="26"/>
          <w:szCs w:val="26"/>
        </w:rPr>
        <w:fldChar w:fldCharType="end"/>
      </w:r>
      <w:r w:rsidRPr="001A5CDE">
        <w:rPr>
          <w:rFonts w:eastAsia="Arial" w:cs="Times New Roman"/>
          <w:sz w:val="26"/>
          <w:szCs w:val="26"/>
        </w:rPr>
        <w:t xml:space="preserve"> that the plaintiff employee unreasonably failed to take advantage of any preventive or corrective opportunities provided by the employer or to avoid harm otherwise.” </w:t>
      </w:r>
      <w:r w:rsidRPr="001A5CDE">
        <w:rPr>
          <w:rFonts w:eastAsia="Arial" w:cs="Times New Roman"/>
          <w:i/>
          <w:sz w:val="26"/>
          <w:szCs w:val="26"/>
        </w:rPr>
        <w:t>Id</w:t>
      </w:r>
      <w:r w:rsidRPr="001A5CDE">
        <w:rPr>
          <w:rFonts w:eastAsia="Arial" w:cs="Times New Roman"/>
          <w:sz w:val="26"/>
          <w:szCs w:val="26"/>
        </w:rPr>
        <w:t>.</w:t>
      </w:r>
    </w:p>
    <w:p w14:paraId="3A4EF02B" w14:textId="77777777" w:rsidR="001A5CDE" w:rsidRPr="001A5CDE" w:rsidRDefault="001A5CDE" w:rsidP="0096077B">
      <w:pPr>
        <w:spacing w:line="240" w:lineRule="auto"/>
        <w:ind w:firstLine="720"/>
        <w:jc w:val="both"/>
        <w:rPr>
          <w:rFonts w:eastAsia="Arial" w:cs="Times New Roman"/>
          <w:sz w:val="26"/>
          <w:szCs w:val="26"/>
        </w:rPr>
      </w:pPr>
      <w:r w:rsidRPr="001A5CDE">
        <w:rPr>
          <w:rFonts w:eastAsia="Arial" w:cs="Times New Roman"/>
          <w:sz w:val="26"/>
          <w:szCs w:val="26"/>
        </w:rPr>
        <w:t xml:space="preserve">“The </w:t>
      </w:r>
      <w:r w:rsidRPr="001A5CDE">
        <w:rPr>
          <w:rFonts w:eastAsia="Arial" w:cs="Times New Roman"/>
          <w:i/>
          <w:sz w:val="26"/>
          <w:szCs w:val="26"/>
        </w:rPr>
        <w:t>Faragher</w:t>
      </w:r>
      <w:r w:rsidRPr="001A5CDE">
        <w:rPr>
          <w:rFonts w:eastAsia="Arial" w:cs="Times New Roman"/>
          <w:sz w:val="26"/>
          <w:szCs w:val="26"/>
        </w:rPr>
        <w:t xml:space="preserve"> defense is available to employers who defend against complaints of ‘an actionable hostile environment created by a supervisor with immediate (or successively higher) authority over the [plaintiff] employee.’” </w:t>
      </w:r>
      <w:r w:rsidRPr="001A5CDE">
        <w:rPr>
          <w:rFonts w:eastAsia="Arial" w:cs="Times New Roman"/>
          <w:i/>
          <w:sz w:val="26"/>
          <w:szCs w:val="26"/>
        </w:rPr>
        <w:t>Beckford v. Dep’t of Corr.</w:t>
      </w:r>
      <w:r w:rsidRPr="001A5CDE">
        <w:rPr>
          <w:rFonts w:eastAsia="Arial" w:cs="Times New Roman"/>
          <w:sz w:val="26"/>
          <w:szCs w:val="26"/>
        </w:rPr>
        <w:t>, 605 F.3d 951, 960 (11</w:t>
      </w:r>
      <w:r w:rsidRPr="001A5CDE">
        <w:rPr>
          <w:rFonts w:eastAsia="Arial" w:cs="Times New Roman"/>
          <w:sz w:val="26"/>
          <w:szCs w:val="26"/>
          <w:vertAlign w:val="superscript"/>
        </w:rPr>
        <w:t>th</w:t>
      </w:r>
      <w:r w:rsidRPr="001A5CDE">
        <w:rPr>
          <w:rFonts w:eastAsia="Arial" w:cs="Times New Roman"/>
          <w:sz w:val="26"/>
          <w:szCs w:val="26"/>
        </w:rPr>
        <w:t xml:space="preserve"> Cir. 2010) (alterations in original) (emphasis omitted) (quoting </w:t>
      </w:r>
      <w:r w:rsidRPr="001A5CDE">
        <w:rPr>
          <w:rFonts w:eastAsia="Arial" w:cs="Times New Roman"/>
          <w:i/>
          <w:sz w:val="26"/>
          <w:szCs w:val="26"/>
        </w:rPr>
        <w:t>Faragher</w:t>
      </w:r>
      <w:r w:rsidRPr="001A5CDE">
        <w:rPr>
          <w:rFonts w:eastAsia="Arial" w:cs="Times New Roman"/>
          <w:sz w:val="26"/>
          <w:szCs w:val="26"/>
        </w:rPr>
        <w:t xml:space="preserve">, 524 U.S. at 807). The </w:t>
      </w:r>
      <w:r w:rsidRPr="001A5CDE">
        <w:rPr>
          <w:rFonts w:eastAsia="Arial" w:cs="Times New Roman"/>
          <w:i/>
          <w:sz w:val="26"/>
          <w:szCs w:val="26"/>
        </w:rPr>
        <w:t>Faragher</w:t>
      </w:r>
      <w:r w:rsidRPr="001A5CDE">
        <w:rPr>
          <w:rFonts w:eastAsia="Arial" w:cs="Times New Roman"/>
          <w:sz w:val="26"/>
          <w:szCs w:val="26"/>
        </w:rPr>
        <w:t xml:space="preserve"> defense does </w:t>
      </w:r>
      <w:r w:rsidRPr="001A5CDE">
        <w:rPr>
          <w:rFonts w:eastAsia="Arial" w:cs="Times New Roman"/>
          <w:i/>
          <w:sz w:val="26"/>
          <w:szCs w:val="26"/>
        </w:rPr>
        <w:t>not</w:t>
      </w:r>
      <w:r w:rsidRPr="001A5CDE">
        <w:rPr>
          <w:rFonts w:eastAsia="Arial" w:cs="Times New Roman"/>
          <w:sz w:val="26"/>
          <w:szCs w:val="26"/>
        </w:rPr>
        <w:t xml:space="preserve"> apply where the employee complains “of harassment by someone other than a supervisor.” </w:t>
      </w:r>
      <w:r w:rsidRPr="001A5CDE">
        <w:rPr>
          <w:rFonts w:eastAsia="Arial" w:cs="Times New Roman"/>
          <w:i/>
          <w:sz w:val="26"/>
          <w:szCs w:val="26"/>
        </w:rPr>
        <w:t>Id</w:t>
      </w:r>
      <w:r w:rsidRPr="001A5CDE">
        <w:rPr>
          <w:rFonts w:eastAsia="Arial" w:cs="Times New Roman"/>
          <w:sz w:val="26"/>
          <w:szCs w:val="26"/>
        </w:rPr>
        <w:t>. at 961. Accordingly, Pattern Instruction 4.7 does not contain an affirmative defense instruction.</w:t>
      </w:r>
    </w:p>
    <w:p w14:paraId="016079D1" w14:textId="77777777" w:rsidR="001A5CDE" w:rsidRPr="001A5CDE" w:rsidRDefault="001A5CDE" w:rsidP="0096077B">
      <w:pPr>
        <w:spacing w:line="240" w:lineRule="auto"/>
        <w:jc w:val="both"/>
        <w:rPr>
          <w:rFonts w:eastAsia="Arial" w:cs="Times New Roman"/>
          <w:b/>
          <w:sz w:val="26"/>
          <w:szCs w:val="26"/>
        </w:rPr>
      </w:pPr>
      <w:r w:rsidRPr="001A5CDE">
        <w:rPr>
          <w:rFonts w:eastAsia="Arial" w:cs="Times New Roman"/>
          <w:b/>
          <w:sz w:val="26"/>
          <w:szCs w:val="26"/>
        </w:rPr>
        <w:fldChar w:fldCharType="begin"/>
      </w:r>
      <w:r w:rsidRPr="001A5CDE">
        <w:rPr>
          <w:rFonts w:eastAsia="Arial" w:cs="Times New Roman"/>
          <w:b/>
          <w:sz w:val="26"/>
          <w:szCs w:val="26"/>
        </w:rPr>
        <w:instrText xml:space="preserve"> LISTNUM  OutlineDefault \l 1 \s 3 </w:instrText>
      </w:r>
      <w:r w:rsidRPr="001A5CDE">
        <w:rPr>
          <w:rFonts w:eastAsia="Arial" w:cs="Times New Roman"/>
          <w:b/>
          <w:sz w:val="26"/>
          <w:szCs w:val="26"/>
        </w:rPr>
        <w:fldChar w:fldCharType="end"/>
      </w:r>
      <w:r w:rsidRPr="001A5CDE">
        <w:rPr>
          <w:rFonts w:eastAsia="Arial" w:cs="Times New Roman"/>
          <w:b/>
          <w:sz w:val="26"/>
          <w:szCs w:val="26"/>
        </w:rPr>
        <w:t xml:space="preserve"> Remedies</w:t>
      </w:r>
    </w:p>
    <w:p w14:paraId="6D2DF262" w14:textId="77777777" w:rsidR="001A5CDE" w:rsidRPr="001A5CDE" w:rsidRDefault="001A5CDE" w:rsidP="0096077B">
      <w:pPr>
        <w:spacing w:line="240" w:lineRule="auto"/>
        <w:ind w:firstLine="720"/>
        <w:jc w:val="both"/>
        <w:rPr>
          <w:rFonts w:eastAsia="Arial" w:cs="Times New Roman"/>
          <w:sz w:val="26"/>
          <w:szCs w:val="26"/>
        </w:rPr>
      </w:pPr>
      <w:r w:rsidRPr="001A5CDE">
        <w:rPr>
          <w:rFonts w:eastAsia="Arial" w:cs="Times New Roman"/>
          <w:sz w:val="26"/>
          <w:szCs w:val="26"/>
        </w:rPr>
        <w:t xml:space="preserve">Please refer to the annotations and comments for Pattern Instruction 4.5, </w:t>
      </w:r>
      <w:r w:rsidRPr="001A5CDE">
        <w:rPr>
          <w:rFonts w:eastAsia="Arial" w:cs="Times New Roman"/>
          <w:i/>
          <w:sz w:val="26"/>
          <w:szCs w:val="26"/>
        </w:rPr>
        <w:t>supra</w:t>
      </w:r>
      <w:r w:rsidRPr="001A5CDE">
        <w:rPr>
          <w:rFonts w:eastAsia="Arial" w:cs="Times New Roman"/>
          <w:sz w:val="26"/>
          <w:szCs w:val="26"/>
        </w:rPr>
        <w:t>.</w:t>
      </w:r>
    </w:p>
    <w:bookmarkEnd w:id="0"/>
    <w:p w14:paraId="6FAC5EDD" w14:textId="77777777" w:rsidR="005A6CC6" w:rsidRDefault="005A6CC6" w:rsidP="0096077B">
      <w:pPr>
        <w:spacing w:line="240" w:lineRule="auto"/>
      </w:pPr>
    </w:p>
    <w:sectPr w:rsidR="005A6CC6" w:rsidSect="000453FD">
      <w:pgSz w:w="12240" w:h="15840" w:code="1"/>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DE"/>
    <w:rsid w:val="001A5CDE"/>
    <w:rsid w:val="0020015A"/>
    <w:rsid w:val="00265F8E"/>
    <w:rsid w:val="0049614C"/>
    <w:rsid w:val="00537357"/>
    <w:rsid w:val="005A6CC6"/>
    <w:rsid w:val="008125D2"/>
    <w:rsid w:val="00822F6E"/>
    <w:rsid w:val="0096077B"/>
    <w:rsid w:val="00961403"/>
    <w:rsid w:val="00B4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DAA2"/>
  <w15:chartTrackingRefBased/>
  <w15:docId w15:val="{0AB275C6-0EFD-40A9-9FAD-5DD1DE99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5D2"/>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Adams</dc:creator>
  <cp:keywords/>
  <dc:description/>
  <cp:lastModifiedBy>Kathleen Adams</cp:lastModifiedBy>
  <cp:revision>3</cp:revision>
  <dcterms:created xsi:type="dcterms:W3CDTF">2019-02-04T18:52:00Z</dcterms:created>
  <dcterms:modified xsi:type="dcterms:W3CDTF">2019-02-04T19:43:00Z</dcterms:modified>
</cp:coreProperties>
</file>