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55" w:rsidRDefault="00DF7655" w:rsidP="00FA797A">
      <w:pPr>
        <w:spacing w:after="240" w:line="240" w:lineRule="auto"/>
        <w:jc w:val="both"/>
        <w:rPr>
          <w:rFonts w:ascii="Times New Roman" w:eastAsia="Arial" w:hAnsi="Times New Roman" w:cs="Times New Roman"/>
          <w:sz w:val="26"/>
          <w:szCs w:val="26"/>
        </w:rPr>
      </w:pPr>
      <w:r>
        <w:rPr>
          <w:rFonts w:ascii="Times New Roman" w:eastAsia="Arial" w:hAnsi="Times New Roman" w:cs="Times New Roman"/>
          <w:b/>
          <w:sz w:val="26"/>
          <w:szCs w:val="26"/>
          <w:u w:val="single"/>
        </w:rPr>
        <w:t>ANNOTATIONS AND COMMENTS</w:t>
      </w:r>
    </w:p>
    <w:p w:rsidR="00DF7655" w:rsidRDefault="00DF7655" w:rsidP="00FA797A">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1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Cause of Action</w:t>
      </w:r>
    </w:p>
    <w:p w:rsidR="00DF7655" w:rsidRPr="002929E6" w:rsidRDefault="00DF7655" w:rsidP="00FA797A">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Title VII of the Civil Rights Act of 1964 prohibits employment discrimination on the basis of sex and other protected traits. 42 U.S.C. § 2000e-2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An employer may be held liable under Title VII if a supervisor takes a “tangible employment action” (such as discharge or demotion) against the employee because the employee refused to give in to the supervisor’s sexual demands</w:t>
      </w:r>
      <w:r w:rsidR="0000490B">
        <w:rPr>
          <w:rFonts w:ascii="Times New Roman" w:eastAsia="Arial" w:hAnsi="Times New Roman" w:cs="Times New Roman"/>
          <w:sz w:val="26"/>
          <w:szCs w:val="26"/>
        </w:rPr>
        <w:t xml:space="preserve">. </w:t>
      </w:r>
      <w:r w:rsidR="0000490B">
        <w:rPr>
          <w:rFonts w:ascii="Times New Roman" w:eastAsia="Arial" w:hAnsi="Times New Roman" w:cs="Times New Roman"/>
          <w:i/>
          <w:sz w:val="26"/>
          <w:szCs w:val="26"/>
        </w:rPr>
        <w:t>E</w:t>
      </w:r>
      <w:r>
        <w:rPr>
          <w:rFonts w:ascii="Times New Roman" w:eastAsia="Arial" w:hAnsi="Times New Roman" w:cs="Times New Roman"/>
          <w:i/>
          <w:sz w:val="26"/>
          <w:szCs w:val="26"/>
        </w:rPr>
        <w:t>.g., Hulsey v. Pride Restaurants, LLC</w:t>
      </w:r>
      <w:r>
        <w:rPr>
          <w:rFonts w:ascii="Times New Roman" w:eastAsia="Arial" w:hAnsi="Times New Roman" w:cs="Times New Roman"/>
          <w:sz w:val="26"/>
          <w:szCs w:val="26"/>
        </w:rPr>
        <w:t>, 367 F.3d 1238, 1245 (11</w:t>
      </w:r>
      <w:r w:rsidRPr="002929E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2004); </w:t>
      </w:r>
      <w:r>
        <w:rPr>
          <w:rFonts w:ascii="Times New Roman" w:eastAsia="Arial" w:hAnsi="Times New Roman" w:cs="Times New Roman"/>
          <w:i/>
          <w:sz w:val="26"/>
          <w:szCs w:val="26"/>
        </w:rPr>
        <w:t>accord Frederick v. Sprint/United Mgmt. Co.</w:t>
      </w:r>
      <w:r>
        <w:rPr>
          <w:rFonts w:ascii="Times New Roman" w:eastAsia="Arial" w:hAnsi="Times New Roman" w:cs="Times New Roman"/>
          <w:sz w:val="26"/>
          <w:szCs w:val="26"/>
        </w:rPr>
        <w:t>, 246 F.3d 1305, 1311 (11</w:t>
      </w:r>
      <w:r w:rsidRPr="002929E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2001) (“[W]hen a supervisor engages in harassment whi</w:t>
      </w:r>
      <w:bookmarkStart w:id="0" w:name="_GoBack"/>
      <w:bookmarkEnd w:id="0"/>
      <w:r>
        <w:rPr>
          <w:rFonts w:ascii="Times New Roman" w:eastAsia="Arial" w:hAnsi="Times New Roman" w:cs="Times New Roman"/>
          <w:sz w:val="26"/>
          <w:szCs w:val="26"/>
        </w:rPr>
        <w:t xml:space="preserve">ch results in an adverse ‘tangible employment action’ against the employee, the employer is automatically held vicariously liable for the harassment.”). Pattern Instruction 4.8 addresses this type of disparate treatment claim, which the courts previously referred to as “quid pro quo” claims but now refer to as “tangible employment action” sexual harassment claims. </w:t>
      </w:r>
      <w:r>
        <w:rPr>
          <w:rFonts w:ascii="Times New Roman" w:eastAsia="Arial" w:hAnsi="Times New Roman" w:cs="Times New Roman"/>
          <w:i/>
          <w:sz w:val="26"/>
          <w:szCs w:val="26"/>
        </w:rPr>
        <w:t>Frederick</w:t>
      </w:r>
      <w:r>
        <w:rPr>
          <w:rFonts w:ascii="Times New Roman" w:eastAsia="Arial" w:hAnsi="Times New Roman" w:cs="Times New Roman"/>
          <w:sz w:val="26"/>
          <w:szCs w:val="26"/>
        </w:rPr>
        <w:t>, 246 F.3d at 1311.</w:t>
      </w:r>
    </w:p>
    <w:p w:rsidR="00DF7655" w:rsidRPr="002929E6" w:rsidRDefault="00DF7655" w:rsidP="00FA797A">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For all other “tangible employment action” disparate treatment claims, Pattern Instruction 4.5, </w:t>
      </w:r>
      <w:r>
        <w:rPr>
          <w:rFonts w:ascii="Times New Roman" w:eastAsia="Arial" w:hAnsi="Times New Roman" w:cs="Times New Roman"/>
          <w:i/>
          <w:sz w:val="26"/>
          <w:szCs w:val="26"/>
        </w:rPr>
        <w:t>supra</w:t>
      </w:r>
      <w:r>
        <w:rPr>
          <w:rFonts w:ascii="Times New Roman" w:eastAsia="Arial" w:hAnsi="Times New Roman" w:cs="Times New Roman"/>
          <w:sz w:val="26"/>
          <w:szCs w:val="26"/>
        </w:rPr>
        <w:t xml:space="preserve">, may be used. For cases where the plaintiff’s claims are based on a hostile work environment but there is no contention that the hostile work environment culminated in a tangible employment action. Pattern Instruction 4.6 (supervisor harassment), </w:t>
      </w:r>
      <w:r>
        <w:rPr>
          <w:rFonts w:ascii="Times New Roman" w:eastAsia="Arial" w:hAnsi="Times New Roman" w:cs="Times New Roman"/>
          <w:i/>
          <w:sz w:val="26"/>
          <w:szCs w:val="26"/>
        </w:rPr>
        <w:t>supra</w:t>
      </w:r>
      <w:r>
        <w:rPr>
          <w:rFonts w:ascii="Times New Roman" w:eastAsia="Arial" w:hAnsi="Times New Roman" w:cs="Times New Roman"/>
          <w:sz w:val="26"/>
          <w:szCs w:val="26"/>
        </w:rPr>
        <w:t xml:space="preserve">, or Pattern Instruction 4.7 (co-worker or third party harassment), </w:t>
      </w:r>
      <w:r>
        <w:rPr>
          <w:rFonts w:ascii="Times New Roman" w:eastAsia="Arial" w:hAnsi="Times New Roman" w:cs="Times New Roman"/>
          <w:i/>
          <w:sz w:val="26"/>
          <w:szCs w:val="26"/>
        </w:rPr>
        <w:t>supra</w:t>
      </w:r>
      <w:r>
        <w:rPr>
          <w:rFonts w:ascii="Times New Roman" w:eastAsia="Arial" w:hAnsi="Times New Roman" w:cs="Times New Roman"/>
          <w:sz w:val="26"/>
          <w:szCs w:val="26"/>
        </w:rPr>
        <w:t>, may be used.</w:t>
      </w:r>
    </w:p>
    <w:p w:rsidR="00DF7655" w:rsidRDefault="00DF7655" w:rsidP="00FA797A">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2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Elements</w:t>
      </w:r>
    </w:p>
    <w:p w:rsidR="00DF7655" w:rsidRDefault="00DF7655" w:rsidP="00FA797A">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1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Elements</w:t>
      </w:r>
    </w:p>
    <w:p w:rsidR="00DF7655" w:rsidRPr="00DE1138" w:rsidRDefault="00DF7655" w:rsidP="00FA797A">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elements of a “tangible employment action” sexual harassment claim (also called “quid pro quo” claim) are derived from cases such as </w:t>
      </w:r>
      <w:r>
        <w:rPr>
          <w:rFonts w:ascii="Times New Roman" w:eastAsia="Arial" w:hAnsi="Times New Roman" w:cs="Times New Roman"/>
          <w:i/>
          <w:sz w:val="26"/>
          <w:szCs w:val="26"/>
        </w:rPr>
        <w:t>Cotton v. Cracker Barrel Old Country Store, Inc.</w:t>
      </w:r>
      <w:r>
        <w:rPr>
          <w:rFonts w:ascii="Times New Roman" w:eastAsia="Arial" w:hAnsi="Times New Roman" w:cs="Times New Roman"/>
          <w:sz w:val="26"/>
          <w:szCs w:val="26"/>
        </w:rPr>
        <w:t>, 434 F.3d 1227, 1231-32, (11</w:t>
      </w:r>
      <w:r w:rsidRPr="00DE1138">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2006) and </w:t>
      </w:r>
      <w:r>
        <w:rPr>
          <w:rFonts w:ascii="Times New Roman" w:eastAsia="Arial" w:hAnsi="Times New Roman" w:cs="Times New Roman"/>
          <w:i/>
          <w:sz w:val="26"/>
          <w:szCs w:val="26"/>
        </w:rPr>
        <w:t>Hulsey v. Pride Restaurants, LLC</w:t>
      </w:r>
      <w:r>
        <w:rPr>
          <w:rFonts w:ascii="Times New Roman" w:eastAsia="Arial" w:hAnsi="Times New Roman" w:cs="Times New Roman"/>
          <w:sz w:val="26"/>
          <w:szCs w:val="26"/>
        </w:rPr>
        <w:t>, 367 F.3d 1238, 1245 (11</w:t>
      </w:r>
      <w:r w:rsidRPr="00DE1138">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2004). In “tangible employment action” sexual harassment cases, the employer is strictly liable for the supervisor’s unlawful conduct. </w:t>
      </w:r>
      <w:r>
        <w:rPr>
          <w:rFonts w:ascii="Times New Roman" w:eastAsia="Arial" w:hAnsi="Times New Roman" w:cs="Times New Roman"/>
          <w:i/>
          <w:sz w:val="26"/>
          <w:szCs w:val="26"/>
        </w:rPr>
        <w:t>See, e.g., Hulsey</w:t>
      </w:r>
      <w:r>
        <w:rPr>
          <w:rFonts w:ascii="Times New Roman" w:eastAsia="Arial" w:hAnsi="Times New Roman" w:cs="Times New Roman"/>
          <w:sz w:val="26"/>
          <w:szCs w:val="26"/>
        </w:rPr>
        <w:t xml:space="preserve">, 367 F.3d at 1245 (“An employer is liable under Title VII if it (even unknowingly) permits a supervisor to take a tangible employment action against an employee because she refused to give in to his sexual overtures… regardless of whether the employee took advantage of any employer-provided system for reporting harassment.”); </w:t>
      </w:r>
      <w:r>
        <w:rPr>
          <w:rFonts w:ascii="Times New Roman" w:eastAsia="Arial" w:hAnsi="Times New Roman" w:cs="Times New Roman"/>
          <w:i/>
          <w:sz w:val="26"/>
          <w:szCs w:val="26"/>
        </w:rPr>
        <w:t>Frederick v. Sprint/United Mgmt. Co.</w:t>
      </w:r>
      <w:r>
        <w:rPr>
          <w:rFonts w:ascii="Times New Roman" w:eastAsia="Arial" w:hAnsi="Times New Roman" w:cs="Times New Roman"/>
          <w:sz w:val="26"/>
          <w:szCs w:val="26"/>
        </w:rPr>
        <w:t>, 246 F.3d 1305, 1311 (11</w:t>
      </w:r>
      <w:r w:rsidRPr="00DE1138">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2001) (“[W]hen a supervisor engages in harassment which results in an adverse ‘tangible employment action’ against the employee, the employer is automatically held vicariously liable for the harassment.”).</w:t>
      </w:r>
    </w:p>
    <w:p w:rsidR="00DF7655" w:rsidRDefault="00DF7655" w:rsidP="00FA797A">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2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“Tangible Employment Action”</w:t>
      </w:r>
    </w:p>
    <w:p w:rsidR="00DF7655" w:rsidRPr="00CD3F49" w:rsidRDefault="00DF7655" w:rsidP="00FA797A">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A “tangible employment action” is required to prevail on a “tangible employment </w:t>
      </w:r>
      <w:r>
        <w:rPr>
          <w:rFonts w:ascii="Times New Roman" w:eastAsia="Arial" w:hAnsi="Times New Roman" w:cs="Times New Roman"/>
          <w:sz w:val="26"/>
          <w:szCs w:val="26"/>
        </w:rPr>
        <w:lastRenderedPageBreak/>
        <w:t>action” theory. Pattern Instruction 4.8 does not define “tangible employment action.” If there is a fact dispute as to whether an employment action amounts to a “tangible employment action,” the instruction and verdict form should be adapted accordingly. “</w:t>
      </w:r>
      <w:r w:rsidR="0000490B">
        <w:rPr>
          <w:rFonts w:ascii="Times New Roman" w:eastAsia="Arial" w:hAnsi="Times New Roman" w:cs="Times New Roman"/>
          <w:sz w:val="26"/>
          <w:szCs w:val="26"/>
        </w:rPr>
        <w:t>‘</w:t>
      </w:r>
      <w:r>
        <w:rPr>
          <w:rFonts w:ascii="Times New Roman" w:eastAsia="Arial" w:hAnsi="Times New Roman" w:cs="Times New Roman"/>
          <w:sz w:val="26"/>
          <w:szCs w:val="26"/>
        </w:rPr>
        <w:t>A tangible employment action constitutes a significant change in employment status, such as hiring, firing, failing to promote, reassignment with significantly different responsibilities, or a decision causing a significant change in benefits.</w:t>
      </w:r>
      <w:r w:rsidR="0000490B">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Pr>
          <w:rFonts w:ascii="Times New Roman" w:eastAsia="Arial" w:hAnsi="Times New Roman" w:cs="Times New Roman"/>
          <w:i/>
          <w:sz w:val="26"/>
          <w:szCs w:val="26"/>
        </w:rPr>
        <w:t>Cotton v. Cracker Barrel Old Country Store, Inc.</w:t>
      </w:r>
      <w:r>
        <w:rPr>
          <w:rFonts w:ascii="Times New Roman" w:eastAsia="Arial" w:hAnsi="Times New Roman" w:cs="Times New Roman"/>
          <w:sz w:val="26"/>
          <w:szCs w:val="26"/>
        </w:rPr>
        <w:t>, 434 F.3d 1227, 1231 (11</w:t>
      </w:r>
      <w:r w:rsidRPr="00CD3F49">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2006) (quoting </w:t>
      </w:r>
      <w:r>
        <w:rPr>
          <w:rFonts w:ascii="Times New Roman" w:eastAsia="Arial" w:hAnsi="Times New Roman" w:cs="Times New Roman"/>
          <w:i/>
          <w:sz w:val="26"/>
          <w:szCs w:val="26"/>
        </w:rPr>
        <w:t>Burlington Indus., Inc. v. Ellerth</w:t>
      </w:r>
      <w:r>
        <w:rPr>
          <w:rFonts w:ascii="Times New Roman" w:eastAsia="Arial" w:hAnsi="Times New Roman" w:cs="Times New Roman"/>
          <w:sz w:val="26"/>
          <w:szCs w:val="26"/>
        </w:rPr>
        <w:t>, 524 U.S. 742, 761 (1998)).</w:t>
      </w:r>
    </w:p>
    <w:p w:rsidR="00DF7655" w:rsidRDefault="00DF7655" w:rsidP="00FA797A">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3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Causation</w:t>
      </w:r>
    </w:p>
    <w:p w:rsidR="00DF7655" w:rsidRPr="00CD3F49" w:rsidRDefault="00DF7655" w:rsidP="00FA797A">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If the employee establishes that the employee rejected the supervisor’s unwelcome sexual advances and that the employee suffered a tangible employment action, the employee must still establish that the employee’s refusal of the supervisor’s unwelcome sexual advances was a motivating factor that prompted the tangible employment action. </w:t>
      </w:r>
      <w:r>
        <w:rPr>
          <w:rFonts w:ascii="Times New Roman" w:eastAsia="Arial" w:hAnsi="Times New Roman" w:cs="Times New Roman"/>
          <w:i/>
          <w:sz w:val="26"/>
          <w:szCs w:val="26"/>
        </w:rPr>
        <w:t>See, e.g., Myers v. Cent. Fla. Invs., Inc.</w:t>
      </w:r>
      <w:r>
        <w:rPr>
          <w:rFonts w:ascii="Times New Roman" w:eastAsia="Arial" w:hAnsi="Times New Roman" w:cs="Times New Roman"/>
          <w:sz w:val="26"/>
          <w:szCs w:val="26"/>
        </w:rPr>
        <w:t>, 237 F. App’x 452, 455 (11</w:t>
      </w:r>
      <w:r w:rsidRPr="00CD3F49">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2007) (per curiam) (affirming summary judgment against plaintiff on tangible employment action theory because plaintiff “failed to offer evidence rebutting” the employer’s legitimate nondiscriminatory reason for her termination). In cases where the dispute centers on the causation element, the court may wish to include a modified version of the legitimate nondiscriminatory reason instruction (and the optional pretext instruction) from Pattern Instruction 4.5, </w:t>
      </w:r>
      <w:r>
        <w:rPr>
          <w:rFonts w:ascii="Times New Roman" w:eastAsia="Arial" w:hAnsi="Times New Roman" w:cs="Times New Roman"/>
          <w:i/>
          <w:sz w:val="26"/>
          <w:szCs w:val="26"/>
        </w:rPr>
        <w:t>supra</w:t>
      </w:r>
      <w:r>
        <w:rPr>
          <w:rFonts w:ascii="Times New Roman" w:eastAsia="Arial" w:hAnsi="Times New Roman" w:cs="Times New Roman"/>
          <w:sz w:val="26"/>
          <w:szCs w:val="26"/>
        </w:rPr>
        <w:t>.</w:t>
      </w:r>
    </w:p>
    <w:p w:rsidR="00DF7655" w:rsidRPr="00CD3F49" w:rsidRDefault="00DF7655" w:rsidP="00FA797A">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A “tangible employment action” is an adverse employment action such as a termination or a denied promotion. Therefore, Pattern Instruction 4.8 includes the causation language applicable to Title VII disparate treatment claims: “motivating factor,” and Pattern Instruction 4.8 also includes an optional “same decision” defense charge. </w:t>
      </w:r>
      <w:r>
        <w:rPr>
          <w:rFonts w:ascii="Times New Roman" w:eastAsia="Arial" w:hAnsi="Times New Roman" w:cs="Times New Roman"/>
          <w:i/>
          <w:sz w:val="26"/>
          <w:szCs w:val="26"/>
        </w:rPr>
        <w:t>See Alwine v. Buzas</w:t>
      </w:r>
      <w:r>
        <w:rPr>
          <w:rFonts w:ascii="Times New Roman" w:eastAsia="Arial" w:hAnsi="Times New Roman" w:cs="Times New Roman"/>
          <w:sz w:val="26"/>
          <w:szCs w:val="26"/>
        </w:rPr>
        <w:t>, 89 F. App’x 196, 210-11 (10</w:t>
      </w:r>
      <w:r w:rsidRPr="00CD3F49">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2004) (finding no error in district court’s “mixed motive” defense instruction on plaintiff’s “quid pro quo harassment claim”); </w:t>
      </w:r>
      <w:r>
        <w:rPr>
          <w:rFonts w:ascii="Times New Roman" w:eastAsia="Arial" w:hAnsi="Times New Roman" w:cs="Times New Roman"/>
          <w:i/>
          <w:sz w:val="26"/>
          <w:szCs w:val="26"/>
        </w:rPr>
        <w:t>cf. Desert Palace, Inc. v. Costa</w:t>
      </w:r>
      <w:r>
        <w:rPr>
          <w:rFonts w:ascii="Times New Roman" w:eastAsia="Arial" w:hAnsi="Times New Roman" w:cs="Times New Roman"/>
          <w:sz w:val="26"/>
          <w:szCs w:val="26"/>
        </w:rPr>
        <w:t>, 539 U.S. 90, 101 (2003) (concluding that district court did not abuse its discretion in giving a mixed motive instruction – including the same decision defense – because the plaintiff had presented sufficient evidence for a reasonable jury to conclude that sex was a motivating factor for the employer’s decision).</w:t>
      </w:r>
    </w:p>
    <w:p w:rsidR="00DF7655" w:rsidRDefault="00DF7655" w:rsidP="00FA797A">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3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Remedies</w:t>
      </w:r>
    </w:p>
    <w:p w:rsidR="00725167" w:rsidRPr="00DF7655" w:rsidRDefault="00DF7655" w:rsidP="00FA797A">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Please refer to the annotations and comments for Pattern Instruction 4.5, </w:t>
      </w:r>
      <w:r>
        <w:rPr>
          <w:rFonts w:ascii="Times New Roman" w:eastAsia="Arial" w:hAnsi="Times New Roman" w:cs="Times New Roman"/>
          <w:i/>
          <w:sz w:val="26"/>
          <w:szCs w:val="26"/>
        </w:rPr>
        <w:t>supra</w:t>
      </w:r>
      <w:r>
        <w:rPr>
          <w:rFonts w:ascii="Times New Roman" w:eastAsia="Arial" w:hAnsi="Times New Roman" w:cs="Times New Roman"/>
          <w:sz w:val="26"/>
          <w:szCs w:val="26"/>
        </w:rPr>
        <w:t>.</w:t>
      </w:r>
    </w:p>
    <w:sectPr w:rsidR="00725167" w:rsidRPr="00DF76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38D" w:rsidRDefault="00CB538D" w:rsidP="00CB538D">
      <w:pPr>
        <w:spacing w:after="0" w:line="240" w:lineRule="auto"/>
      </w:pPr>
      <w:r>
        <w:separator/>
      </w:r>
    </w:p>
  </w:endnote>
  <w:endnote w:type="continuationSeparator" w:id="0">
    <w:p w:rsidR="00CB538D" w:rsidRDefault="00CB538D" w:rsidP="00CB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38D" w:rsidRDefault="00CB538D" w:rsidP="00CB538D">
      <w:pPr>
        <w:spacing w:after="0" w:line="240" w:lineRule="auto"/>
      </w:pPr>
      <w:r>
        <w:separator/>
      </w:r>
    </w:p>
  </w:footnote>
  <w:footnote w:type="continuationSeparator" w:id="0">
    <w:p w:rsidR="00CB538D" w:rsidRDefault="00CB538D" w:rsidP="00CB53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63"/>
    <w:rsid w:val="0000490B"/>
    <w:rsid w:val="00014B03"/>
    <w:rsid w:val="001259E6"/>
    <w:rsid w:val="00251CEE"/>
    <w:rsid w:val="00254AC9"/>
    <w:rsid w:val="00311AF4"/>
    <w:rsid w:val="0036555D"/>
    <w:rsid w:val="0037222E"/>
    <w:rsid w:val="00433802"/>
    <w:rsid w:val="00441E63"/>
    <w:rsid w:val="00442B35"/>
    <w:rsid w:val="00466BD3"/>
    <w:rsid w:val="004B2337"/>
    <w:rsid w:val="00570E3C"/>
    <w:rsid w:val="005864C9"/>
    <w:rsid w:val="006F7D0E"/>
    <w:rsid w:val="00725167"/>
    <w:rsid w:val="00770F0A"/>
    <w:rsid w:val="0081575C"/>
    <w:rsid w:val="008763ED"/>
    <w:rsid w:val="00947DFB"/>
    <w:rsid w:val="00A0627E"/>
    <w:rsid w:val="00A33B62"/>
    <w:rsid w:val="00A36A17"/>
    <w:rsid w:val="00A63B3A"/>
    <w:rsid w:val="00B129D9"/>
    <w:rsid w:val="00BB5464"/>
    <w:rsid w:val="00C265BC"/>
    <w:rsid w:val="00C61B2E"/>
    <w:rsid w:val="00CB538D"/>
    <w:rsid w:val="00D00EFE"/>
    <w:rsid w:val="00D31BDF"/>
    <w:rsid w:val="00DB540E"/>
    <w:rsid w:val="00DC18AE"/>
    <w:rsid w:val="00DC7A5D"/>
    <w:rsid w:val="00DF7655"/>
    <w:rsid w:val="00E235C8"/>
    <w:rsid w:val="00E25B2E"/>
    <w:rsid w:val="00E263A0"/>
    <w:rsid w:val="00E64928"/>
    <w:rsid w:val="00EA447E"/>
    <w:rsid w:val="00EB49C0"/>
    <w:rsid w:val="00EB654A"/>
    <w:rsid w:val="00EE428C"/>
    <w:rsid w:val="00FA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6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CB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38D"/>
  </w:style>
  <w:style w:type="paragraph" w:styleId="Footer">
    <w:name w:val="footer"/>
    <w:basedOn w:val="Normal"/>
    <w:link w:val="FooterChar"/>
    <w:uiPriority w:val="99"/>
    <w:unhideWhenUsed/>
    <w:rsid w:val="00CB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6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CB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38D"/>
  </w:style>
  <w:style w:type="paragraph" w:styleId="Footer">
    <w:name w:val="footer"/>
    <w:basedOn w:val="Normal"/>
    <w:link w:val="FooterChar"/>
    <w:uiPriority w:val="99"/>
    <w:unhideWhenUsed/>
    <w:rsid w:val="00CB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4612</Characters>
  <Application>Microsoft Office Word</Application>
  <DocSecurity>0</DocSecurity>
  <Lines>38</Lines>
  <Paragraphs>10</Paragraphs>
  <ScaleCrop>false</ScaleCrop>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2014-04-04T03:33:00Z</dcterms:created>
  <dcterms:modified xsi:type="dcterms:W3CDTF">2014-06-19T20:58:00Z</dcterms:modified>
</cp:coreProperties>
</file>