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CA" w:rsidRDefault="001E02CA" w:rsidP="00AF4355">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1E02CA" w:rsidRPr="00E85769"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42 U.S.C. § 1981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states that “[a]ll persons within the jurisdiction of the United States shall have the same right… to make and enforce contracts.” 42 U.S.C. § 1981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term ‘make and enforce contracts’ includes the making, performance, modification, and termination of contracts, and the enjoyment of all benefits, privileges, terms, and conditions of the contractual relationship.” </w:t>
      </w:r>
      <w:r>
        <w:rPr>
          <w:rFonts w:ascii="Times New Roman" w:eastAsia="Arial" w:hAnsi="Times New Roman" w:cs="Times New Roman"/>
          <w:i/>
          <w:sz w:val="26"/>
          <w:szCs w:val="26"/>
        </w:rPr>
        <w:t>Id</w:t>
      </w:r>
      <w:r>
        <w:rPr>
          <w:rFonts w:ascii="Times New Roman" w:eastAsia="Arial" w:hAnsi="Times New Roman" w:cs="Times New Roman"/>
          <w:sz w:val="26"/>
          <w:szCs w:val="26"/>
        </w:rPr>
        <w:t>. § 1981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Section 1981 prohibits intentional racial discrimination in the making and enforcement of private contracts, including employment contracts.” </w:t>
      </w:r>
      <w:r>
        <w:rPr>
          <w:rFonts w:ascii="Times New Roman" w:eastAsia="Arial" w:hAnsi="Times New Roman" w:cs="Times New Roman"/>
          <w:i/>
          <w:sz w:val="26"/>
          <w:szCs w:val="26"/>
        </w:rPr>
        <w:t>Washington v. Kroger Co.</w:t>
      </w:r>
      <w:r w:rsidR="008979D7">
        <w:rPr>
          <w:rFonts w:ascii="Times New Roman" w:eastAsia="Arial" w:hAnsi="Times New Roman" w:cs="Times New Roman"/>
          <w:sz w:val="26"/>
          <w:szCs w:val="26"/>
        </w:rPr>
        <w:t>, 218 F. App’x</w:t>
      </w:r>
      <w:r>
        <w:rPr>
          <w:rFonts w:ascii="Times New Roman" w:eastAsia="Arial" w:hAnsi="Times New Roman" w:cs="Times New Roman"/>
          <w:sz w:val="26"/>
          <w:szCs w:val="26"/>
        </w:rPr>
        <w:t xml:space="preserve"> 822, 824 (11</w:t>
      </w:r>
      <w:r w:rsidRPr="00E8576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(per curiam).</w:t>
      </w:r>
    </w:p>
    <w:p w:rsidR="001E02CA" w:rsidRPr="00E85769"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4.9 provides instructions for discharge and failure to promote claims, but it is also intended to be used for any other case in which the plaintiff alleges a racially discriminatory adverse employment action, including discharge, failure to promote, wage discrimination, demotion, or other serious and material changes to the plaintiff’s terms and conditions of employment. Pattern Instruction 4.9 may also be used as the starting point for jury instructions in cases in which the plaintiff alleges the adverse employment action of failure to hire, though slight modifications will be required. Finally, Pattern Instruction 4.9 may be used for claims that a race-based hostile work environment culminated in a “tangible employment action,” such as discharge or demotion. Pattern Instruction 4.9 is </w:t>
      </w:r>
      <w:r>
        <w:rPr>
          <w:rFonts w:ascii="Times New Roman" w:eastAsia="Arial" w:hAnsi="Times New Roman" w:cs="Times New Roman"/>
          <w:i/>
          <w:sz w:val="26"/>
          <w:szCs w:val="26"/>
        </w:rPr>
        <w:t>not</w:t>
      </w:r>
      <w:r>
        <w:rPr>
          <w:rFonts w:ascii="Times New Roman" w:eastAsia="Arial" w:hAnsi="Times New Roman" w:cs="Times New Roman"/>
          <w:sz w:val="26"/>
          <w:szCs w:val="26"/>
        </w:rPr>
        <w:t xml:space="preserve"> intended to be used for hostile work environment claims that do not involve a tangible employment action; Pattern Instructions 4.6 and 4.7,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may be adapted to address § 1981 claims for a race-based hostile work environment. Pattern Instruction 4.9 is also not intended to be used for § 1981 retaliation claims; Pattern Instruction 4.21, </w:t>
      </w:r>
      <w:r>
        <w:rPr>
          <w:rFonts w:ascii="Times New Roman" w:eastAsia="Arial" w:hAnsi="Times New Roman" w:cs="Times New Roman"/>
          <w:i/>
          <w:sz w:val="26"/>
          <w:szCs w:val="26"/>
        </w:rPr>
        <w:t>infra</w:t>
      </w:r>
      <w:r>
        <w:rPr>
          <w:rFonts w:ascii="Times New Roman" w:eastAsia="Arial" w:hAnsi="Times New Roman" w:cs="Times New Roman"/>
          <w:sz w:val="26"/>
          <w:szCs w:val="26"/>
        </w:rPr>
        <w:t>, may be adapted to address such claims. An instruction on § 1981 retaliation should incorporate the damages instructions of Pattern Instruction 4.9.</w:t>
      </w:r>
    </w:p>
    <w:p w:rsidR="001E02CA" w:rsidRPr="00EB148F"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Section 1981 prohibits race discrimination, and it does not cover purely national origin discrimination. </w:t>
      </w:r>
      <w:r>
        <w:rPr>
          <w:rFonts w:ascii="Times New Roman" w:eastAsia="Arial" w:hAnsi="Times New Roman" w:cs="Times New Roman"/>
          <w:i/>
          <w:sz w:val="26"/>
          <w:szCs w:val="26"/>
        </w:rPr>
        <w:t>Bullard v. OMI Ga., Inc.</w:t>
      </w:r>
      <w:r>
        <w:rPr>
          <w:rFonts w:ascii="Times New Roman" w:eastAsia="Arial" w:hAnsi="Times New Roman" w:cs="Times New Roman"/>
          <w:sz w:val="26"/>
          <w:szCs w:val="26"/>
        </w:rPr>
        <w:t>, 640 F.2d 632, 634 (5</w:t>
      </w:r>
      <w:r w:rsidRPr="00EB148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Unit B Mar. 1981); </w:t>
      </w:r>
      <w:r>
        <w:rPr>
          <w:rFonts w:ascii="Times New Roman" w:eastAsia="Arial" w:hAnsi="Times New Roman" w:cs="Times New Roman"/>
          <w:i/>
          <w:sz w:val="26"/>
          <w:szCs w:val="26"/>
        </w:rPr>
        <w:t>accord Tippie v. Spacelabs Med., Inc.</w:t>
      </w:r>
      <w:r>
        <w:rPr>
          <w:rFonts w:ascii="Times New Roman" w:eastAsia="Arial" w:hAnsi="Times New Roman" w:cs="Times New Roman"/>
          <w:sz w:val="26"/>
          <w:szCs w:val="26"/>
        </w:rPr>
        <w:t>, 180 F. App’x 51, 56 (11</w:t>
      </w:r>
      <w:r w:rsidRPr="00EB148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(per curiam). However, “[i]n some contexts, national origin discrimination is so closely related to racial discrimination as to be indistinguishable.” </w:t>
      </w:r>
      <w:r>
        <w:rPr>
          <w:rFonts w:ascii="Times New Roman" w:eastAsia="Arial" w:hAnsi="Times New Roman" w:cs="Times New Roman"/>
          <w:i/>
          <w:sz w:val="26"/>
          <w:szCs w:val="26"/>
        </w:rPr>
        <w:t>Bullard</w:t>
      </w:r>
      <w:r>
        <w:rPr>
          <w:rFonts w:ascii="Times New Roman" w:eastAsia="Arial" w:hAnsi="Times New Roman" w:cs="Times New Roman"/>
          <w:sz w:val="26"/>
          <w:szCs w:val="26"/>
        </w:rPr>
        <w:t>, 640 F.2d at 634 (internal quotation marks omitted).</w:t>
      </w:r>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Causation</w:t>
      </w:r>
    </w:p>
    <w:p w:rsidR="001E02CA"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4.9 instructs that the jury must find that the plaintiff’s race was a “motivating factor” in the defendant’s decision. This language tracks the language of Pattern Instructions 4.1 and 4.5,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In First Amendment retaliation cases brought pursuant to 42 U.S.C. § 1983, a “motivating factor” causation standard applies based on </w:t>
      </w:r>
      <w:r w:rsidRPr="0055340B">
        <w:rPr>
          <w:rFonts w:ascii="Times New Roman" w:eastAsia="Arial" w:hAnsi="Times New Roman" w:cs="Times New Roman"/>
          <w:i/>
          <w:sz w:val="26"/>
          <w:szCs w:val="26"/>
        </w:rPr>
        <w:lastRenderedPageBreak/>
        <w:t>Mt. Healthy City School District Board of Education v. Doyle</w:t>
      </w:r>
      <w:r>
        <w:rPr>
          <w:rFonts w:ascii="Times New Roman" w:eastAsia="Arial" w:hAnsi="Times New Roman" w:cs="Times New Roman"/>
          <w:sz w:val="26"/>
          <w:szCs w:val="26"/>
        </w:rPr>
        <w:t xml:space="preserve">, 429 U.S. 274 (1977), in which the Supreme Court held that a plaintiff must show that protected First Amendment “conduct was a ‘substantial factor’ or to put it in other words, that it was a ‘motivating factor’” in the defendant’s challenged action. </w:t>
      </w:r>
      <w:r w:rsidRPr="0055340B">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287; see also </w:t>
      </w:r>
      <w:r w:rsidRPr="0055340B">
        <w:rPr>
          <w:rFonts w:ascii="Times New Roman" w:eastAsia="Arial" w:hAnsi="Times New Roman" w:cs="Times New Roman"/>
          <w:i/>
          <w:sz w:val="26"/>
          <w:szCs w:val="26"/>
        </w:rPr>
        <w:t>Vila v. Padron</w:t>
      </w:r>
      <w:r>
        <w:rPr>
          <w:rFonts w:ascii="Times New Roman" w:eastAsia="Arial" w:hAnsi="Times New Roman" w:cs="Times New Roman"/>
          <w:sz w:val="26"/>
          <w:szCs w:val="26"/>
        </w:rPr>
        <w:t>, 484 F.3d 1334, 1339 (11</w:t>
      </w:r>
      <w:r w:rsidRPr="0055340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(requiring that protected speech play “a substantial or motivating role in the adverse employment action”). In the Title VII context, the “motivating factor” causation standard is based on the statutory language. See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 unlawful employment practice is established when the complaining party demonstrates that race, color, religion, sex, or national origin was a motivating factor for any employment practice, even though other factors also motivated the practice.”).</w:t>
      </w:r>
    </w:p>
    <w:p w:rsidR="001E02CA" w:rsidRPr="00EB148F"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This issue may need to be revisited in the § 1981 context in light of the Supreme Court’s decisions in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xml:space="preserve">, 557 U.S. 167 (2009) and </w:t>
      </w:r>
      <w:r w:rsidRPr="007F2172">
        <w:rPr>
          <w:rFonts w:ascii="Times New Roman" w:eastAsia="Arial" w:hAnsi="Times New Roman" w:cs="Times New Roman"/>
          <w:i/>
          <w:sz w:val="26"/>
          <w:szCs w:val="26"/>
        </w:rPr>
        <w:t>University of Texas Southwestern Medical Center v. Nassar</w:t>
      </w:r>
      <w:r>
        <w:rPr>
          <w:rFonts w:ascii="Times New Roman" w:eastAsia="Arial" w:hAnsi="Times New Roman" w:cs="Times New Roman"/>
          <w:sz w:val="26"/>
          <w:szCs w:val="26"/>
        </w:rPr>
        <w:t xml:space="preserve">, No. 12-484, 2013 WL 3155234 (U.S. June 24, 2013). In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the Supreme Court held that to prove discrimination under the Age Discrimination in Employment Act (“ADEA”), the plaintiff must establish “but for” causation and may not prevail “by showing that age was simply a motivating factor.”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557 U.S. at 174-78. The rationale for this decision is that the ADEA’s statutory text makes it unlawful for an employer to discriminate against an individual “because of” the individual’s age. </w:t>
      </w:r>
      <w:r>
        <w:rPr>
          <w:rFonts w:ascii="Times New Roman" w:eastAsia="Arial" w:hAnsi="Times New Roman" w:cs="Times New Roman"/>
          <w:i/>
          <w:sz w:val="26"/>
          <w:szCs w:val="26"/>
        </w:rPr>
        <w:t>Id</w:t>
      </w:r>
      <w:r>
        <w:rPr>
          <w:rFonts w:ascii="Times New Roman" w:eastAsia="Arial" w:hAnsi="Times New Roman" w:cs="Times New Roman"/>
          <w:sz w:val="26"/>
          <w:szCs w:val="26"/>
        </w:rPr>
        <w:t>. at 176. Only Title VII’s anti-discrimination provision was amended to allow for employer liability where discrimination “</w:t>
      </w:r>
      <w:r w:rsidR="008979D7">
        <w:rPr>
          <w:rFonts w:ascii="Times New Roman" w:eastAsia="Arial" w:hAnsi="Times New Roman" w:cs="Times New Roman"/>
          <w:sz w:val="26"/>
          <w:szCs w:val="26"/>
        </w:rPr>
        <w:t>‘</w:t>
      </w:r>
      <w:r>
        <w:rPr>
          <w:rFonts w:ascii="Times New Roman" w:eastAsia="Arial" w:hAnsi="Times New Roman" w:cs="Times New Roman"/>
          <w:sz w:val="26"/>
          <w:szCs w:val="26"/>
        </w:rPr>
        <w:t>was a motivating factor for any employment practice, even though other factors also motivated the practice.</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Pr="007F2172">
        <w:rPr>
          <w:rFonts w:ascii="Times New Roman" w:eastAsia="Arial" w:hAnsi="Times New Roman" w:cs="Times New Roman"/>
          <w:i/>
          <w:sz w:val="26"/>
          <w:szCs w:val="26"/>
        </w:rPr>
        <w:t>Id</w:t>
      </w:r>
      <w:r>
        <w:rPr>
          <w:rFonts w:ascii="Times New Roman" w:eastAsia="Arial" w:hAnsi="Times New Roman" w:cs="Times New Roman"/>
          <w:sz w:val="26"/>
          <w:szCs w:val="26"/>
        </w:rPr>
        <w:t>. at 177 n.3 (quoting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Also, “[b]ecause an ADEA plaintiff must establish ‘but for’ causality, no ‘same decision’ affirmative defense can exist: the employer either acted ‘because of’ the plaintiff’s age or it did not.” </w:t>
      </w:r>
      <w:r>
        <w:rPr>
          <w:rFonts w:ascii="Times New Roman" w:eastAsia="Arial" w:hAnsi="Times New Roman" w:cs="Times New Roman"/>
          <w:i/>
          <w:sz w:val="26"/>
          <w:szCs w:val="26"/>
        </w:rPr>
        <w:t>Mora v. Jackson Mem’l Found., Inc.</w:t>
      </w:r>
      <w:r>
        <w:rPr>
          <w:rFonts w:ascii="Times New Roman" w:eastAsia="Arial" w:hAnsi="Times New Roman" w:cs="Times New Roman"/>
          <w:sz w:val="26"/>
          <w:szCs w:val="26"/>
        </w:rPr>
        <w:t>, 597 F.3d 1201, 1204 (11</w:t>
      </w:r>
      <w:r w:rsidRPr="00EB148F">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(per curiam). In </w:t>
      </w:r>
      <w:r w:rsidRPr="007F2172">
        <w:rPr>
          <w:rFonts w:ascii="Times New Roman" w:eastAsia="Arial" w:hAnsi="Times New Roman" w:cs="Times New Roman"/>
          <w:i/>
          <w:sz w:val="26"/>
          <w:szCs w:val="26"/>
        </w:rPr>
        <w:t>Nassar</w:t>
      </w:r>
      <w:r>
        <w:rPr>
          <w:rFonts w:ascii="Times New Roman" w:eastAsia="Arial" w:hAnsi="Times New Roman" w:cs="Times New Roman"/>
          <w:sz w:val="26"/>
          <w:szCs w:val="26"/>
        </w:rPr>
        <w:t xml:space="preserve">, the Supreme Court extended the rationale of </w:t>
      </w:r>
      <w:r w:rsidRPr="007F2172">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to Title VII retaliation claims “[g]iven the lack of any meaningful textual difference between the text in” Title VII’s anti-retaliation provision and the ADEA’s anti-retaliation provision. </w:t>
      </w:r>
      <w:r w:rsidRPr="007F2172">
        <w:rPr>
          <w:rFonts w:ascii="Times New Roman" w:eastAsia="Arial" w:hAnsi="Times New Roman" w:cs="Times New Roman"/>
          <w:i/>
          <w:sz w:val="26"/>
          <w:szCs w:val="26"/>
        </w:rPr>
        <w:t>Nassar</w:t>
      </w:r>
      <w:r>
        <w:rPr>
          <w:rFonts w:ascii="Times New Roman" w:eastAsia="Arial" w:hAnsi="Times New Roman" w:cs="Times New Roman"/>
          <w:sz w:val="26"/>
          <w:szCs w:val="26"/>
        </w:rPr>
        <w:t>, 2013 WL 3155234, at *10. Therefore, “Title VII retaliation claims must be proved according to traditional principles of but-for causation, not the lessened causation test stated in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7F2172">
        <w:rPr>
          <w:rFonts w:ascii="Times New Roman" w:eastAsia="Arial" w:hAnsi="Times New Roman" w:cs="Times New Roman"/>
          <w:i/>
          <w:sz w:val="26"/>
          <w:szCs w:val="26"/>
        </w:rPr>
        <w:t>Id</w:t>
      </w:r>
      <w:r>
        <w:rPr>
          <w:rFonts w:ascii="Times New Roman" w:eastAsia="Arial" w:hAnsi="Times New Roman" w:cs="Times New Roman"/>
          <w:sz w:val="26"/>
          <w:szCs w:val="26"/>
        </w:rPr>
        <w:t>. at *14.</w:t>
      </w:r>
    </w:p>
    <w:p w:rsidR="001E02CA" w:rsidRPr="0082607C"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At the time of this publication, neither the Supreme Court nor the Eleventh Circuit had addressed whether the reasoning of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and </w:t>
      </w:r>
      <w:r w:rsidRPr="00AB0FE4">
        <w:rPr>
          <w:rFonts w:ascii="Times New Roman" w:eastAsia="Arial" w:hAnsi="Times New Roman" w:cs="Times New Roman"/>
          <w:i/>
          <w:sz w:val="26"/>
          <w:szCs w:val="26"/>
        </w:rPr>
        <w:t>Nassar</w:t>
      </w:r>
      <w:r>
        <w:rPr>
          <w:rFonts w:ascii="Times New Roman" w:eastAsia="Arial" w:hAnsi="Times New Roman" w:cs="Times New Roman"/>
          <w:sz w:val="26"/>
          <w:szCs w:val="26"/>
        </w:rPr>
        <w:t xml:space="preserve"> </w:t>
      </w:r>
      <w:r w:rsidRPr="00AB0FE4">
        <w:rPr>
          <w:rFonts w:ascii="Times New Roman" w:eastAsia="Arial" w:hAnsi="Times New Roman" w:cs="Times New Roman"/>
          <w:sz w:val="26"/>
          <w:szCs w:val="26"/>
        </w:rPr>
        <w:t>applies</w:t>
      </w:r>
      <w:r>
        <w:rPr>
          <w:rFonts w:ascii="Times New Roman" w:eastAsia="Arial" w:hAnsi="Times New Roman" w:cs="Times New Roman"/>
          <w:sz w:val="26"/>
          <w:szCs w:val="26"/>
        </w:rPr>
        <w:t xml:space="preserve"> to claims under § 1981. Section 1981 does not contain any specific causation language, such as the “motivating factor” language of Title VII or the “because of” language of the ADEA. Rather, § 1981 “prohibits intentional racial discrimination in the making and enforcement of private contracts, including employment contracts</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979D7">
        <w:rPr>
          <w:rFonts w:ascii="Times New Roman" w:eastAsia="Arial" w:hAnsi="Times New Roman" w:cs="Times New Roman"/>
          <w:i/>
          <w:sz w:val="26"/>
          <w:szCs w:val="26"/>
        </w:rPr>
        <w:t>E</w:t>
      </w:r>
      <w:r>
        <w:rPr>
          <w:rFonts w:ascii="Times New Roman" w:eastAsia="Arial" w:hAnsi="Times New Roman" w:cs="Times New Roman"/>
          <w:i/>
          <w:sz w:val="26"/>
          <w:szCs w:val="26"/>
        </w:rPr>
        <w:t>.g., Washington v. Kroger Co.</w:t>
      </w:r>
      <w:r>
        <w:rPr>
          <w:rFonts w:ascii="Times New Roman" w:eastAsia="Arial" w:hAnsi="Times New Roman" w:cs="Times New Roman"/>
          <w:sz w:val="26"/>
          <w:szCs w:val="26"/>
        </w:rPr>
        <w:t>, 218 F. App’x 822, 824 (per curiam) (11</w:t>
      </w:r>
      <w:r w:rsidRPr="0082607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It is often said that Title VII and § 1981 “have the same requirements of proof and present the same analytical framework,” </w:t>
      </w:r>
      <w:r>
        <w:rPr>
          <w:rFonts w:ascii="Times New Roman" w:eastAsia="Arial" w:hAnsi="Times New Roman" w:cs="Times New Roman"/>
          <w:i/>
          <w:sz w:val="26"/>
          <w:szCs w:val="26"/>
        </w:rPr>
        <w:t>e.g., id.</w:t>
      </w:r>
      <w:r>
        <w:rPr>
          <w:rFonts w:ascii="Times New Roman" w:eastAsia="Arial" w:hAnsi="Times New Roman" w:cs="Times New Roman"/>
          <w:sz w:val="26"/>
          <w:szCs w:val="26"/>
        </w:rPr>
        <w:t>, but the test is still whether there was intent to discriminate because of race</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979D7">
        <w:rPr>
          <w:rFonts w:ascii="Times New Roman" w:eastAsia="Arial" w:hAnsi="Times New Roman" w:cs="Times New Roman"/>
          <w:i/>
          <w:sz w:val="26"/>
          <w:szCs w:val="26"/>
        </w:rPr>
        <w:t>E</w:t>
      </w:r>
      <w:r>
        <w:rPr>
          <w:rFonts w:ascii="Times New Roman" w:eastAsia="Arial" w:hAnsi="Times New Roman" w:cs="Times New Roman"/>
          <w:i/>
          <w:sz w:val="26"/>
          <w:szCs w:val="26"/>
        </w:rPr>
        <w:t>.g., Rutstein v. Avis Rent-A-Car Sys., Inc.</w:t>
      </w:r>
      <w:r>
        <w:rPr>
          <w:rFonts w:ascii="Times New Roman" w:eastAsia="Arial" w:hAnsi="Times New Roman" w:cs="Times New Roman"/>
          <w:sz w:val="26"/>
          <w:szCs w:val="26"/>
        </w:rPr>
        <w:t>, 211 F.3d 1228, 1235 (11</w:t>
      </w:r>
      <w:r w:rsidRPr="0082607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2000). The </w:t>
      </w:r>
      <w:r>
        <w:rPr>
          <w:rFonts w:ascii="Times New Roman" w:eastAsia="Arial" w:hAnsi="Times New Roman" w:cs="Times New Roman"/>
          <w:sz w:val="26"/>
          <w:szCs w:val="26"/>
        </w:rPr>
        <w:lastRenderedPageBreak/>
        <w:t>“motivating factor” language of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was not inserted into § 1981.</w:t>
      </w:r>
    </w:p>
    <w:p w:rsidR="001E02CA" w:rsidRPr="00922CA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Because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and </w:t>
      </w:r>
      <w:r w:rsidRPr="007F2172">
        <w:rPr>
          <w:rFonts w:ascii="Times New Roman" w:eastAsia="Arial" w:hAnsi="Times New Roman" w:cs="Times New Roman"/>
          <w:i/>
          <w:sz w:val="26"/>
          <w:szCs w:val="26"/>
        </w:rPr>
        <w:t>Nassar</w:t>
      </w:r>
      <w:r>
        <w:rPr>
          <w:rFonts w:ascii="Times New Roman" w:eastAsia="Arial" w:hAnsi="Times New Roman" w:cs="Times New Roman"/>
          <w:sz w:val="26"/>
          <w:szCs w:val="26"/>
        </w:rPr>
        <w:t xml:space="preserve"> do not squarely apply to § 1981, because First Amendment cases brought pursuant to 42 U.S.C. § 1983 are subject to a “motivating factor” causation standard, and because the issue had not been decided by the Supreme Court or the Eleventh Circuit prior to this publication, the Committee did not recommend changing the “motivating factor” language of Pattern Instruction 4.9. The Committee does, however, recommend that district courts review this issue prior to instructing a jury on § 1981.</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Pretext (In General)</w:t>
      </w:r>
    </w:p>
    <w:p w:rsidR="001E02CA" w:rsidRPr="00EE469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When analyzing employment discrimination claims in the context of pretrial motions, the courts typically employ the framework established by the Supreme Court in </w:t>
      </w:r>
      <w:r>
        <w:rPr>
          <w:rFonts w:ascii="Times New Roman" w:eastAsia="Arial" w:hAnsi="Times New Roman" w:cs="Times New Roman"/>
          <w:i/>
          <w:sz w:val="26"/>
          <w:szCs w:val="26"/>
        </w:rPr>
        <w:t>McDonnell Douglas Corp. v. Green</w:t>
      </w:r>
      <w:r>
        <w:rPr>
          <w:rFonts w:ascii="Times New Roman" w:eastAsia="Arial" w:hAnsi="Times New Roman" w:cs="Times New Roman"/>
          <w:sz w:val="26"/>
          <w:szCs w:val="26"/>
        </w:rPr>
        <w:t xml:space="preserve">, 411 U.S. 792 (1973) and </w:t>
      </w:r>
      <w:r>
        <w:rPr>
          <w:rFonts w:ascii="Times New Roman" w:eastAsia="Arial" w:hAnsi="Times New Roman" w:cs="Times New Roman"/>
          <w:i/>
          <w:sz w:val="26"/>
          <w:szCs w:val="26"/>
        </w:rPr>
        <w:t>Texas Department of Community Affairs v. Burdine</w:t>
      </w:r>
      <w:r>
        <w:rPr>
          <w:rFonts w:ascii="Times New Roman" w:eastAsia="Arial" w:hAnsi="Times New Roman" w:cs="Times New Roman"/>
          <w:sz w:val="26"/>
          <w:szCs w:val="26"/>
        </w:rPr>
        <w:t xml:space="preserve">, 450 U.S. 248 (1981). Under that framework, the plaintiff must establish a prima facie case of discrimination. </w:t>
      </w:r>
      <w:r>
        <w:rPr>
          <w:rFonts w:ascii="Times New Roman" w:eastAsia="Arial" w:hAnsi="Times New Roman" w:cs="Times New Roman"/>
          <w:i/>
          <w:sz w:val="26"/>
          <w:szCs w:val="26"/>
        </w:rPr>
        <w:t>Alvarez v. Royal Atl. Developers, Inc.</w:t>
      </w:r>
      <w:r>
        <w:rPr>
          <w:rFonts w:ascii="Times New Roman" w:eastAsia="Arial" w:hAnsi="Times New Roman" w:cs="Times New Roman"/>
          <w:sz w:val="26"/>
          <w:szCs w:val="26"/>
        </w:rPr>
        <w:t>, 610 F.3d 1253, 1264 (11</w:t>
      </w:r>
      <w:r w:rsidRPr="00922CA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Once the plaintiff has made a prima facie case, the employer may articulate a legitimate nondiscriminatory reason for its action.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If the employer articulates a legitimate nondiscriminatory reason, then the plaintiff must produce evidence that the employer’s proffered reason is pretext for discrimination.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“The plaintiff can show pretext ‘either directly by persuading the court that a discriminatory reason more likely motivated the employer or indirectly by showing that the employer’s proffered explanation is unworthy of credence.’” </w:t>
      </w:r>
      <w:r>
        <w:rPr>
          <w:rFonts w:ascii="Times New Roman" w:eastAsia="Arial" w:hAnsi="Times New Roman" w:cs="Times New Roman"/>
          <w:i/>
          <w:sz w:val="26"/>
          <w:szCs w:val="26"/>
        </w:rPr>
        <w:t>Kragor v. Takeda Pharms. Am., Inc.</w:t>
      </w:r>
      <w:r>
        <w:rPr>
          <w:rFonts w:ascii="Times New Roman" w:eastAsia="Arial" w:hAnsi="Times New Roman" w:cs="Times New Roman"/>
          <w:sz w:val="26"/>
          <w:szCs w:val="26"/>
        </w:rPr>
        <w:t>, 702 F.3d 1304, 1308 (11</w:t>
      </w:r>
      <w:r w:rsidRPr="0026489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2012) (quoting </w:t>
      </w:r>
      <w:r>
        <w:rPr>
          <w:rFonts w:ascii="Times New Roman" w:eastAsia="Arial" w:hAnsi="Times New Roman" w:cs="Times New Roman"/>
          <w:i/>
          <w:sz w:val="26"/>
          <w:szCs w:val="26"/>
        </w:rPr>
        <w:t>Tex. Dep’t of Cmty. Affairs v. Burdine</w:t>
      </w:r>
      <w:r>
        <w:rPr>
          <w:rFonts w:ascii="Times New Roman" w:eastAsia="Arial" w:hAnsi="Times New Roman" w:cs="Times New Roman"/>
          <w:sz w:val="26"/>
          <w:szCs w:val="26"/>
        </w:rPr>
        <w:t xml:space="preserve">, 450 U.S. 248, 256 (1981)). If the decisionmaker’s statements can be interpreted as an admission that the proffered reason was a cover-up for discrimination, then a jury may consider the statement and decide whether discrimination was the real reason for the employer’s decision. </w:t>
      </w:r>
      <w:r>
        <w:rPr>
          <w:rFonts w:ascii="Times New Roman" w:eastAsia="Arial" w:hAnsi="Times New Roman" w:cs="Times New Roman"/>
          <w:i/>
          <w:sz w:val="26"/>
          <w:szCs w:val="26"/>
        </w:rPr>
        <w:t>Id</w:t>
      </w:r>
      <w:r>
        <w:rPr>
          <w:rFonts w:ascii="Times New Roman" w:eastAsia="Arial" w:hAnsi="Times New Roman" w:cs="Times New Roman"/>
          <w:sz w:val="26"/>
          <w:szCs w:val="26"/>
        </w:rPr>
        <w:t>. at 1308-09.</w:t>
      </w:r>
    </w:p>
    <w:p w:rsidR="001E02CA" w:rsidRPr="000F6AB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Eleventh Circuit has concluded that “it is unnecessary and inappropriate to instruct the jury on the </w:t>
      </w:r>
      <w:r>
        <w:rPr>
          <w:rFonts w:ascii="Times New Roman" w:eastAsia="Arial" w:hAnsi="Times New Roman" w:cs="Times New Roman"/>
          <w:i/>
          <w:sz w:val="26"/>
          <w:szCs w:val="26"/>
        </w:rPr>
        <w:t>McDonnell Douglas</w:t>
      </w:r>
      <w:r>
        <w:rPr>
          <w:rFonts w:ascii="Times New Roman" w:eastAsia="Arial" w:hAnsi="Times New Roman" w:cs="Times New Roman"/>
          <w:sz w:val="26"/>
          <w:szCs w:val="26"/>
        </w:rPr>
        <w:t xml:space="preserve"> analysis” because such an instruction has potential to confuse the jury. </w:t>
      </w:r>
      <w:r>
        <w:rPr>
          <w:rFonts w:ascii="Times New Roman" w:eastAsia="Arial" w:hAnsi="Times New Roman" w:cs="Times New Roman"/>
          <w:i/>
          <w:sz w:val="26"/>
          <w:szCs w:val="26"/>
        </w:rPr>
        <w:t>Dudley v. Wal-Mart Stores, Inc.</w:t>
      </w:r>
      <w:r>
        <w:rPr>
          <w:rFonts w:ascii="Times New Roman" w:eastAsia="Arial" w:hAnsi="Times New Roman" w:cs="Times New Roman"/>
          <w:sz w:val="26"/>
          <w:szCs w:val="26"/>
        </w:rPr>
        <w:t>, 166 F.3d 1317, 1322 (11</w:t>
      </w:r>
      <w:r w:rsidRPr="00EE469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 Nonetheless, it is not error to instruct a jury that one way a plaintiff may show intentional discrimination is by showing that the employer’s stated reasons for its actions were not true and were instead pretext or cover to hide discrimination. </w:t>
      </w:r>
      <w:r>
        <w:rPr>
          <w:rFonts w:ascii="Times New Roman" w:eastAsia="Arial" w:hAnsi="Times New Roman" w:cs="Times New Roman"/>
          <w:i/>
          <w:sz w:val="26"/>
          <w:szCs w:val="26"/>
        </w:rPr>
        <w:t>Palmer v. Bd. of Regents of Univ. Sys. of Ga.</w:t>
      </w:r>
      <w:r>
        <w:rPr>
          <w:rFonts w:ascii="Times New Roman" w:eastAsia="Arial" w:hAnsi="Times New Roman" w:cs="Times New Roman"/>
          <w:sz w:val="26"/>
          <w:szCs w:val="26"/>
        </w:rPr>
        <w:t>, 208 F.3d 969, 974-75 (11</w:t>
      </w:r>
      <w:r w:rsidRPr="00EE469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2000). It is also not necessarily error to refuse to give a pretext instruction. </w:t>
      </w:r>
      <w:r>
        <w:rPr>
          <w:rFonts w:ascii="Times New Roman" w:eastAsia="Arial" w:hAnsi="Times New Roman" w:cs="Times New Roman"/>
          <w:i/>
          <w:sz w:val="26"/>
          <w:szCs w:val="26"/>
        </w:rPr>
        <w:t>Cleveland v. Home Shopping Network, Inc.</w:t>
      </w:r>
      <w:r>
        <w:rPr>
          <w:rFonts w:ascii="Times New Roman" w:eastAsia="Arial" w:hAnsi="Times New Roman" w:cs="Times New Roman"/>
          <w:sz w:val="26"/>
          <w:szCs w:val="26"/>
        </w:rPr>
        <w:t>, 369 F.3d 1189, 1196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w:t>
      </w:r>
    </w:p>
    <w:p w:rsidR="001E02CA" w:rsidRPr="006F2376"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4.9 includes an optional pretext charge, which instructs the jury that it may consider the circumstances of the employer’s decision – including whether the jury believes the employer’s proffered nondiscriminatory reason for its decision – in deciding whether the decision was motivated by a protected trait.</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lastRenderedPageBreak/>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Pretext (Failure to Promote)</w:t>
      </w:r>
    </w:p>
    <w:p w:rsidR="001E02CA" w:rsidRPr="000F6AB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In a failure to promote or failure to hire case where the defendant has presented evidence of a legitimate nondiscriminatory reason for its decision but there is a question of fact as to the relative qualifications of plaintiff and the comparator, the court may consider adding a special interrogatory on the issue. The Eleventh Circuit stated that “</w:t>
      </w:r>
      <w:r w:rsidR="008979D7">
        <w:rPr>
          <w:rFonts w:ascii="Times New Roman" w:eastAsia="Arial" w:hAnsi="Times New Roman" w:cs="Times New Roman"/>
          <w:sz w:val="26"/>
          <w:szCs w:val="26"/>
        </w:rPr>
        <w:t>‘</w:t>
      </w:r>
      <w:r>
        <w:rPr>
          <w:rFonts w:ascii="Times New Roman" w:eastAsia="Arial" w:hAnsi="Times New Roman" w:cs="Times New Roman"/>
          <w:sz w:val="26"/>
          <w:szCs w:val="26"/>
        </w:rPr>
        <w:t>a plaintiff cannot prove pretext by simply arguing or even by showing that he was better qualified than the [person] who received the position he coveted. A plaintiff must show not merely that the defendant’s employment decisions were mistaken but that they were in fact motivated by race.</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Springer v. Convergys Customer Management Group, Inc.</w:t>
      </w:r>
      <w:r>
        <w:rPr>
          <w:rFonts w:ascii="Times New Roman" w:eastAsia="Arial" w:hAnsi="Times New Roman" w:cs="Times New Roman"/>
          <w:sz w:val="26"/>
          <w:szCs w:val="26"/>
        </w:rPr>
        <w:t>, 509 F.3d 1344, 1349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2007) (per curiam) (alteration in original) (quoting </w:t>
      </w:r>
      <w:r>
        <w:rPr>
          <w:rFonts w:ascii="Times New Roman" w:eastAsia="Arial" w:hAnsi="Times New Roman" w:cs="Times New Roman"/>
          <w:i/>
          <w:sz w:val="26"/>
          <w:szCs w:val="26"/>
        </w:rPr>
        <w:t>Brooks v. Cnty. Comm’n of Jefferson Cnty.</w:t>
      </w:r>
      <w:r>
        <w:rPr>
          <w:rFonts w:ascii="Times New Roman" w:eastAsia="Arial" w:hAnsi="Times New Roman" w:cs="Times New Roman"/>
          <w:sz w:val="26"/>
          <w:szCs w:val="26"/>
        </w:rPr>
        <w:t>, 446 F.3d 1160, 1163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Rather “a plaintiff must show that the disparities between the successful applicant’s and his own qualifications were of such weight and significance that no reasonable person, in the exercise of impartial judgment, could have chosen the candidate selected over the plaintiff.</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Id</w:t>
      </w:r>
      <w:r>
        <w:rPr>
          <w:rFonts w:ascii="Times New Roman" w:eastAsia="Arial" w:hAnsi="Times New Roman" w:cs="Times New Roman"/>
          <w:sz w:val="26"/>
          <w:szCs w:val="26"/>
        </w:rPr>
        <w:t>. (internal quotation marks omitted).</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Cat’s Paw</w:t>
      </w:r>
    </w:p>
    <w:p w:rsidR="001E02CA" w:rsidRPr="00232DDA"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Staub v. Proctor Hospital</w:t>
      </w:r>
      <w:r>
        <w:rPr>
          <w:rFonts w:ascii="Times New Roman" w:eastAsia="Arial" w:hAnsi="Times New Roman" w:cs="Times New Roman"/>
          <w:sz w:val="26"/>
          <w:szCs w:val="26"/>
        </w:rPr>
        <w:t xml:space="preserve">, 131 S. Ct. 1186 (2011), the Supreme Court approved a “cat’s paw” theory of causation in the context of a case under the Uniformed Services Employment and Reemployment Rights Act of 1994, 38 U.S.C. § 4301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(“USERRA”). In </w:t>
      </w:r>
      <w:r>
        <w:rPr>
          <w:rFonts w:ascii="Times New Roman" w:eastAsia="Arial" w:hAnsi="Times New Roman" w:cs="Times New Roman"/>
          <w:i/>
          <w:sz w:val="26"/>
          <w:szCs w:val="26"/>
        </w:rPr>
        <w:t>Staub</w:t>
      </w:r>
      <w:r>
        <w:rPr>
          <w:rFonts w:ascii="Times New Roman" w:eastAsia="Arial" w:hAnsi="Times New Roman" w:cs="Times New Roman"/>
          <w:sz w:val="26"/>
          <w:szCs w:val="26"/>
        </w:rPr>
        <w:t xml:space="preserve">, the plaintiff sought to hold his employer liable for the anti-military animus of his supervisors, who did not make the ultimate decision to fire the plaintiff but did make unfavorable reports that led to the plaintiff’s termination. The Supreme Court held that “if a supervisor performs an act motivated by antimilitary animus that is </w:t>
      </w:r>
      <w:r>
        <w:rPr>
          <w:rFonts w:ascii="Times New Roman" w:eastAsia="Arial" w:hAnsi="Times New Roman" w:cs="Times New Roman"/>
          <w:i/>
          <w:sz w:val="26"/>
          <w:szCs w:val="26"/>
        </w:rPr>
        <w:t>intended</w:t>
      </w:r>
      <w:r>
        <w:rPr>
          <w:rFonts w:ascii="Times New Roman" w:eastAsia="Arial" w:hAnsi="Times New Roman" w:cs="Times New Roman"/>
          <w:sz w:val="26"/>
          <w:szCs w:val="26"/>
        </w:rPr>
        <w:t xml:space="preserve"> by the supervisor to cause an adverse employment action, and if that act is a proximate cause of the ultimate employment action, then the employer is liable under USERRA.” </w:t>
      </w:r>
      <w:r w:rsidRPr="00D82A2E">
        <w:rPr>
          <w:rFonts w:ascii="Times New Roman" w:eastAsia="Arial" w:hAnsi="Times New Roman" w:cs="Times New Roman"/>
          <w:i/>
          <w:sz w:val="26"/>
          <w:szCs w:val="26"/>
        </w:rPr>
        <w:t>Staub</w:t>
      </w:r>
      <w:r>
        <w:rPr>
          <w:rFonts w:ascii="Times New Roman" w:eastAsia="Arial" w:hAnsi="Times New Roman" w:cs="Times New Roman"/>
          <w:sz w:val="26"/>
          <w:szCs w:val="26"/>
        </w:rPr>
        <w:t>, 131 S. Ct. at 1194 (reversing Seventh Circuit’s grant of judgment as a matter of law for employer because Seventh Circuit incorrectly required decisionmaker to be wholly dependent on advice of supervisors with discriminatory animus; declining to analyze district court’s jury instruction).</w:t>
      </w:r>
    </w:p>
    <w:p w:rsidR="001E02CA" w:rsidRPr="000F6AB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At the time of this publication, there have been no Supreme Court or Eleventh Circuit cases that specifically apply </w:t>
      </w:r>
      <w:r>
        <w:rPr>
          <w:rFonts w:ascii="Times New Roman" w:eastAsia="Arial" w:hAnsi="Times New Roman" w:cs="Times New Roman"/>
          <w:i/>
          <w:sz w:val="26"/>
          <w:szCs w:val="26"/>
        </w:rPr>
        <w:t>Staub</w:t>
      </w:r>
      <w:r>
        <w:rPr>
          <w:rFonts w:ascii="Times New Roman" w:eastAsia="Arial" w:hAnsi="Times New Roman" w:cs="Times New Roman"/>
          <w:sz w:val="26"/>
          <w:szCs w:val="26"/>
        </w:rPr>
        <w:t xml:space="preserve"> beyond the USERRA context. Pattern Instruction 4.9 does not contain a cat’s paw instruction for claims arising under § 1981, but if the court decides that the appropriate causation standard for a § 1981 claim is “motivating factor” and that a cat’s paw charge is warranted based on the facts in the case, the court may refer to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 which includes an optional cat’s paw charge.</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“Same Decision” Defense</w:t>
      </w:r>
    </w:p>
    <w:p w:rsidR="001E02CA" w:rsidRPr="000F6AB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Eleventh Circuit has held that a complete mixed motive defense is available in actions brought pursuant to 42 U.S.C. § 1981. </w:t>
      </w:r>
      <w:r>
        <w:rPr>
          <w:rFonts w:ascii="Times New Roman" w:eastAsia="Arial" w:hAnsi="Times New Roman" w:cs="Times New Roman"/>
          <w:i/>
          <w:sz w:val="26"/>
          <w:szCs w:val="26"/>
        </w:rPr>
        <w:t xml:space="preserve">Mabra v. United Food &amp; Commercial </w:t>
      </w:r>
      <w:r>
        <w:rPr>
          <w:rFonts w:ascii="Times New Roman" w:eastAsia="Arial" w:hAnsi="Times New Roman" w:cs="Times New Roman"/>
          <w:i/>
          <w:sz w:val="26"/>
          <w:szCs w:val="26"/>
        </w:rPr>
        <w:lastRenderedPageBreak/>
        <w:t>Workers Local Union No. 1996</w:t>
      </w:r>
      <w:r>
        <w:rPr>
          <w:rFonts w:ascii="Times New Roman" w:eastAsia="Arial" w:hAnsi="Times New Roman" w:cs="Times New Roman"/>
          <w:sz w:val="26"/>
          <w:szCs w:val="26"/>
        </w:rPr>
        <w:t>, 176 F.3d 1357, 1357-58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 (citing </w:t>
      </w:r>
      <w:r>
        <w:rPr>
          <w:rFonts w:ascii="Times New Roman" w:eastAsia="Arial" w:hAnsi="Times New Roman" w:cs="Times New Roman"/>
          <w:i/>
          <w:sz w:val="26"/>
          <w:szCs w:val="26"/>
        </w:rPr>
        <w:t>Harris v. Shelby Cnty. Bd. of Educ.</w:t>
      </w:r>
      <w:r>
        <w:rPr>
          <w:rFonts w:ascii="Times New Roman" w:eastAsia="Arial" w:hAnsi="Times New Roman" w:cs="Times New Roman"/>
          <w:sz w:val="26"/>
          <w:szCs w:val="26"/>
        </w:rPr>
        <w:t>, 99 F.3d 1078, 1084-85 &amp; n.5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1996). The Eleventh Circuit has not decided whether this issue should be revisited in light of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xml:space="preserve">, 557 U.S. 167 (2009) and </w:t>
      </w:r>
      <w:r w:rsidRPr="007F2172">
        <w:rPr>
          <w:rFonts w:ascii="Times New Roman" w:eastAsia="Arial" w:hAnsi="Times New Roman" w:cs="Times New Roman"/>
          <w:i/>
          <w:sz w:val="26"/>
          <w:szCs w:val="26"/>
        </w:rPr>
        <w:t>University of Texas Southwestern Medical Center v. Nassar</w:t>
      </w:r>
      <w:r>
        <w:rPr>
          <w:rFonts w:ascii="Times New Roman" w:eastAsia="Arial" w:hAnsi="Times New Roman" w:cs="Times New Roman"/>
          <w:sz w:val="26"/>
          <w:szCs w:val="26"/>
        </w:rPr>
        <w:t>, No. 12-484, 2013 WL 3155234 (U.S. June 24, 2013). The Committee recommends that district courts review this issue before instructing a jury on § 1981.</w:t>
      </w:r>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Damages (</w:t>
      </w:r>
      <w:r w:rsidR="008979D7">
        <w:rPr>
          <w:rFonts w:ascii="Times New Roman" w:eastAsia="Arial" w:hAnsi="Times New Roman" w:cs="Times New Roman"/>
          <w:b/>
          <w:sz w:val="26"/>
          <w:szCs w:val="26"/>
        </w:rPr>
        <w:t>g</w:t>
      </w:r>
      <w:r>
        <w:rPr>
          <w:rFonts w:ascii="Times New Roman" w:eastAsia="Arial" w:hAnsi="Times New Roman" w:cs="Times New Roman"/>
          <w:b/>
          <w:sz w:val="26"/>
          <w:szCs w:val="26"/>
        </w:rPr>
        <w:t>eneral)</w:t>
      </w:r>
    </w:p>
    <w:p w:rsidR="001E02CA" w:rsidRPr="000F6ABB"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Section 1981, like 42 U.S.C. § 1983, does not contain its own damages provisions. Rather, the remedies available have been judicially determined. Plaintiffs may recover punitive and compensatory damages (including pain and suffering), back pay, reinstatement or future earnings, and attorney’s fees. </w:t>
      </w:r>
      <w:r>
        <w:rPr>
          <w:rFonts w:ascii="Times New Roman" w:eastAsia="Arial" w:hAnsi="Times New Roman" w:cs="Times New Roman"/>
          <w:i/>
          <w:sz w:val="26"/>
          <w:szCs w:val="26"/>
        </w:rPr>
        <w:t>See generally, e.g., Goldsmith v. Bagby Elevator Co.</w:t>
      </w:r>
      <w:r>
        <w:rPr>
          <w:rFonts w:ascii="Times New Roman" w:eastAsia="Arial" w:hAnsi="Times New Roman" w:cs="Times New Roman"/>
          <w:sz w:val="26"/>
          <w:szCs w:val="26"/>
        </w:rPr>
        <w:t>, 513 F.3d 1261, 1268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(affirming award of back pay, mental anguish damages, punitive damages, attorney’s fees, and costs).</w:t>
      </w:r>
    </w:p>
    <w:p w:rsidR="001E02CA" w:rsidRPr="005812A7"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Damages, including punitive damages, are not capped by Title VII’s damages cap. </w:t>
      </w:r>
      <w:r>
        <w:rPr>
          <w:rFonts w:ascii="Times New Roman" w:eastAsia="Arial" w:hAnsi="Times New Roman" w:cs="Times New Roman"/>
          <w:i/>
          <w:sz w:val="26"/>
          <w:szCs w:val="26"/>
        </w:rPr>
        <w:t>See, e.g., id</w:t>
      </w:r>
      <w:r>
        <w:rPr>
          <w:rFonts w:ascii="Times New Roman" w:eastAsia="Arial" w:hAnsi="Times New Roman" w:cs="Times New Roman"/>
          <w:sz w:val="26"/>
          <w:szCs w:val="26"/>
        </w:rPr>
        <w:t xml:space="preserve">. at 1284-85 (upholding punitive damages award of $500,000 where analogous Title VII cap was $100,000); </w:t>
      </w:r>
      <w:r>
        <w:rPr>
          <w:rFonts w:ascii="Times New Roman" w:eastAsia="Arial" w:hAnsi="Times New Roman" w:cs="Times New Roman"/>
          <w:i/>
          <w:sz w:val="26"/>
          <w:szCs w:val="26"/>
        </w:rPr>
        <w:t>Bogle v. McClure</w:t>
      </w:r>
      <w:r>
        <w:rPr>
          <w:rFonts w:ascii="Times New Roman" w:eastAsia="Arial" w:hAnsi="Times New Roman" w:cs="Times New Roman"/>
          <w:sz w:val="26"/>
          <w:szCs w:val="26"/>
        </w:rPr>
        <w:t>, 332 F.3d 1347, 1330, 1362 (11</w:t>
      </w:r>
      <w:r w:rsidRPr="000F6AB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2003) (rejecting argument that Title VII cap should be applied by analogy in cases under 42 U.S.C. § 1983 and upholding award of approximately $17 million where analogous Title VII cap was $300,000). A punitive damages award still must comport with due process, and the Supreme Court has instructed the courts to consider several guideposts in eva</w:t>
      </w:r>
      <w:r w:rsidR="008979D7">
        <w:rPr>
          <w:rFonts w:ascii="Times New Roman" w:eastAsia="Arial" w:hAnsi="Times New Roman" w:cs="Times New Roman"/>
          <w:sz w:val="26"/>
          <w:szCs w:val="26"/>
        </w:rPr>
        <w:t>luating punitive damages awards.</w:t>
      </w:r>
      <w:r>
        <w:rPr>
          <w:rFonts w:ascii="Times New Roman" w:eastAsia="Arial" w:hAnsi="Times New Roman" w:cs="Times New Roman"/>
          <w:sz w:val="26"/>
          <w:szCs w:val="26"/>
        </w:rPr>
        <w:t xml:space="preserve"> </w:t>
      </w:r>
      <w:r w:rsidR="008979D7">
        <w:rPr>
          <w:rFonts w:ascii="Times New Roman" w:eastAsia="Arial" w:hAnsi="Times New Roman" w:cs="Times New Roman"/>
          <w:i/>
          <w:sz w:val="26"/>
          <w:szCs w:val="26"/>
        </w:rPr>
        <w:t>E</w:t>
      </w:r>
      <w:r>
        <w:rPr>
          <w:rFonts w:ascii="Times New Roman" w:eastAsia="Arial" w:hAnsi="Times New Roman" w:cs="Times New Roman"/>
          <w:i/>
          <w:sz w:val="26"/>
          <w:szCs w:val="26"/>
        </w:rPr>
        <w:t>.g., State Farm Mut. Auto. Ins. Co. v. Campbell</w:t>
      </w:r>
      <w:r>
        <w:rPr>
          <w:rFonts w:ascii="Times New Roman" w:eastAsia="Arial" w:hAnsi="Times New Roman" w:cs="Times New Roman"/>
          <w:sz w:val="26"/>
          <w:szCs w:val="26"/>
        </w:rPr>
        <w:t xml:space="preserve">, 538 U.S. 408, 418 (2003). The Supreme Court has noted that “few [punitive damages] awards exceeding a single-digit ratio between punitive and compensatory damages… will satisfy due process.” </w:t>
      </w:r>
      <w:r>
        <w:rPr>
          <w:rFonts w:ascii="Times New Roman" w:eastAsia="Arial" w:hAnsi="Times New Roman" w:cs="Times New Roman"/>
          <w:i/>
          <w:sz w:val="26"/>
          <w:szCs w:val="26"/>
        </w:rPr>
        <w:t>Id</w:t>
      </w:r>
      <w:r>
        <w:rPr>
          <w:rFonts w:ascii="Times New Roman" w:eastAsia="Arial" w:hAnsi="Times New Roman" w:cs="Times New Roman"/>
          <w:sz w:val="26"/>
          <w:szCs w:val="26"/>
        </w:rPr>
        <w:t>. at 424.</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Punitive Damages</w:t>
      </w:r>
    </w:p>
    <w:p w:rsidR="001E02CA" w:rsidRPr="005812A7"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plaintiff cannot recover punitive damages from a government entity under § 1981</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979D7">
        <w:rPr>
          <w:rFonts w:ascii="Times New Roman" w:eastAsia="Arial" w:hAnsi="Times New Roman" w:cs="Times New Roman"/>
          <w:i/>
          <w:sz w:val="26"/>
          <w:szCs w:val="26"/>
        </w:rPr>
        <w:t>E</w:t>
      </w:r>
      <w:r>
        <w:rPr>
          <w:rFonts w:ascii="Times New Roman" w:eastAsia="Arial" w:hAnsi="Times New Roman" w:cs="Times New Roman"/>
          <w:i/>
          <w:sz w:val="26"/>
          <w:szCs w:val="26"/>
        </w:rPr>
        <w:t>.g., Young Apartments, Inc. v. Town of Jupiter, Fla.</w:t>
      </w:r>
      <w:r>
        <w:rPr>
          <w:rFonts w:ascii="Times New Roman" w:eastAsia="Arial" w:hAnsi="Times New Roman" w:cs="Times New Roman"/>
          <w:sz w:val="26"/>
          <w:szCs w:val="26"/>
        </w:rPr>
        <w:t>, 529 F.3d 1027, 1047 (11</w:t>
      </w:r>
      <w:r w:rsidRPr="005812A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(citing </w:t>
      </w:r>
      <w:r>
        <w:rPr>
          <w:rFonts w:ascii="Times New Roman" w:eastAsia="Arial" w:hAnsi="Times New Roman" w:cs="Times New Roman"/>
          <w:i/>
          <w:sz w:val="26"/>
          <w:szCs w:val="26"/>
        </w:rPr>
        <w:t>City of Newport v. Fact Concerts, Inc.</w:t>
      </w:r>
      <w:r>
        <w:rPr>
          <w:rFonts w:ascii="Times New Roman" w:eastAsia="Arial" w:hAnsi="Times New Roman" w:cs="Times New Roman"/>
          <w:sz w:val="26"/>
          <w:szCs w:val="26"/>
        </w:rPr>
        <w:t xml:space="preserve">, 453 U.S. 247, 267 (1981)) (“In a § 1983 action, punitive damages are only available from government officials when they are sued in their individual capacities.”). Therefore, if the case involves claims against a government entity only, then the punitive damages instruction should not be given; if the case involves claims against a government entity </w:t>
      </w:r>
      <w:r>
        <w:rPr>
          <w:rFonts w:ascii="Times New Roman" w:eastAsia="Arial" w:hAnsi="Times New Roman" w:cs="Times New Roman"/>
          <w:i/>
          <w:sz w:val="26"/>
          <w:szCs w:val="26"/>
        </w:rPr>
        <w:t>and</w:t>
      </w:r>
      <w:r>
        <w:rPr>
          <w:rFonts w:ascii="Times New Roman" w:eastAsia="Arial" w:hAnsi="Times New Roman" w:cs="Times New Roman"/>
          <w:sz w:val="26"/>
          <w:szCs w:val="26"/>
        </w:rPr>
        <w:t xml:space="preserve"> government officials sued in their individual capacities, then the instruction and verdict form should be adapted to clarify that the jury may only consider the issue of punitive damages with regard to the individual defendants. Pattern Instruction 4.3, </w:t>
      </w:r>
      <w:r>
        <w:rPr>
          <w:rFonts w:ascii="Times New Roman" w:eastAsia="Arial" w:hAnsi="Times New Roman" w:cs="Times New Roman"/>
          <w:i/>
          <w:sz w:val="26"/>
          <w:szCs w:val="26"/>
        </w:rPr>
        <w:t>supra</w:t>
      </w:r>
      <w:r>
        <w:rPr>
          <w:rFonts w:ascii="Times New Roman" w:eastAsia="Arial" w:hAnsi="Times New Roman" w:cs="Times New Roman"/>
          <w:sz w:val="26"/>
          <w:szCs w:val="26"/>
        </w:rPr>
        <w:t>, contains a punitive damages instruction that can be used in cases involving individual defendants.</w:t>
      </w:r>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lastRenderedPageBreak/>
        <w:fldChar w:fldCharType="begin"/>
      </w:r>
      <w:r>
        <w:rPr>
          <w:rFonts w:ascii="Times New Roman" w:eastAsia="Arial" w:hAnsi="Times New Roman" w:cs="Times New Roman"/>
          <w:b/>
          <w:sz w:val="26"/>
          <w:szCs w:val="26"/>
        </w:rPr>
        <w:instrText xml:space="preserve"> LISTNUM  OutlineDefault \l 1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Special Questions</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Governmental Liability</w:t>
      </w:r>
    </w:p>
    <w:p w:rsidR="001E02CA" w:rsidRPr="005812A7"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“[Section] 1983 constitutes the exclusive federal remedy for violation by state actors of the rights guaranteed under § 1981.” </w:t>
      </w:r>
      <w:r>
        <w:rPr>
          <w:rFonts w:ascii="Times New Roman" w:eastAsia="Arial" w:hAnsi="Times New Roman" w:cs="Times New Roman"/>
          <w:i/>
          <w:sz w:val="26"/>
          <w:szCs w:val="26"/>
        </w:rPr>
        <w:t>Bryant v. Jones</w:t>
      </w:r>
      <w:r>
        <w:rPr>
          <w:rFonts w:ascii="Times New Roman" w:eastAsia="Arial" w:hAnsi="Times New Roman" w:cs="Times New Roman"/>
          <w:sz w:val="26"/>
          <w:szCs w:val="26"/>
        </w:rPr>
        <w:t>, 575 F.3d 1281, 1288 n.1 (11</w:t>
      </w:r>
      <w:r w:rsidRPr="005812A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2009). Therefore, a plaintiff’s § 1981 claims against a government entity must be brought through § 1983. </w:t>
      </w:r>
      <w:r>
        <w:rPr>
          <w:rFonts w:ascii="Times New Roman" w:eastAsia="Arial" w:hAnsi="Times New Roman" w:cs="Times New Roman"/>
          <w:i/>
          <w:sz w:val="26"/>
          <w:szCs w:val="26"/>
        </w:rPr>
        <w:t>Butts v. Cnty. of Volusia</w:t>
      </w:r>
      <w:r>
        <w:rPr>
          <w:rFonts w:ascii="Times New Roman" w:eastAsia="Arial" w:hAnsi="Times New Roman" w:cs="Times New Roman"/>
          <w:sz w:val="26"/>
          <w:szCs w:val="26"/>
        </w:rPr>
        <w:t>, 222 F.3d 891, 892 (11</w:t>
      </w:r>
      <w:r w:rsidRPr="005812A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2000). This means that plaintiffs pursuing § 1981 claims against a government entity must establish that the deprivation was done pursuant to a policy or custom of the government entity</w:t>
      </w:r>
      <w:r w:rsidR="008979D7">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8979D7">
        <w:rPr>
          <w:rFonts w:ascii="Times New Roman" w:eastAsia="Arial" w:hAnsi="Times New Roman" w:cs="Times New Roman"/>
          <w:i/>
          <w:sz w:val="26"/>
          <w:szCs w:val="26"/>
        </w:rPr>
        <w:t>E</w:t>
      </w:r>
      <w:r>
        <w:rPr>
          <w:rFonts w:ascii="Times New Roman" w:eastAsia="Arial" w:hAnsi="Times New Roman" w:cs="Times New Roman"/>
          <w:i/>
          <w:sz w:val="26"/>
          <w:szCs w:val="26"/>
        </w:rPr>
        <w:t>.g., Griffin v. City of Opa-Locka</w:t>
      </w:r>
      <w:r>
        <w:rPr>
          <w:rFonts w:ascii="Times New Roman" w:eastAsia="Arial" w:hAnsi="Times New Roman" w:cs="Times New Roman"/>
          <w:sz w:val="26"/>
          <w:szCs w:val="26"/>
        </w:rPr>
        <w:t>, 261 F.3d 1295, 1307 (11</w:t>
      </w:r>
      <w:r w:rsidRPr="005812A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(citing </w:t>
      </w:r>
      <w:r>
        <w:rPr>
          <w:rFonts w:ascii="Times New Roman" w:eastAsia="Arial" w:hAnsi="Times New Roman" w:cs="Times New Roman"/>
          <w:i/>
          <w:sz w:val="26"/>
          <w:szCs w:val="26"/>
        </w:rPr>
        <w:t>Monell v. Dep’t of Soc. Servs.</w:t>
      </w:r>
      <w:r>
        <w:rPr>
          <w:rFonts w:ascii="Times New Roman" w:eastAsia="Arial" w:hAnsi="Times New Roman" w:cs="Times New Roman"/>
          <w:sz w:val="26"/>
          <w:szCs w:val="26"/>
        </w:rPr>
        <w:t>, 436 U.S. 658, 663 (1978)).</w:t>
      </w:r>
    </w:p>
    <w:p w:rsidR="001E02CA" w:rsidRPr="005812A7"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4.9 does not contain instructions on the “policy or custom” issue. In cases where there is a fact dispute as to whether the actions in question were taken pursuant to a policy or custom, the court should refer to Pattern Instruction 4.3, </w:t>
      </w:r>
      <w:r>
        <w:rPr>
          <w:rFonts w:ascii="Times New Roman" w:eastAsia="Arial" w:hAnsi="Times New Roman" w:cs="Times New Roman"/>
          <w:i/>
          <w:sz w:val="26"/>
          <w:szCs w:val="26"/>
        </w:rPr>
        <w:t>supra</w:t>
      </w:r>
      <w:r>
        <w:rPr>
          <w:rFonts w:ascii="Times New Roman" w:eastAsia="Arial" w:hAnsi="Times New Roman" w:cs="Times New Roman"/>
          <w:sz w:val="26"/>
          <w:szCs w:val="26"/>
        </w:rPr>
        <w:t>, which contains language that is intended to guide the jury through the “policy or custom” issue.</w:t>
      </w:r>
    </w:p>
    <w:p w:rsidR="001E02CA" w:rsidRDefault="001E02CA" w:rsidP="00AF435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Statute of Limitations</w:t>
      </w:r>
    </w:p>
    <w:p w:rsidR="001E02CA" w:rsidRPr="00F23CF3"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statute of limitations may be different for different types of claims under § 1981. </w:t>
      </w:r>
      <w:r>
        <w:rPr>
          <w:rFonts w:ascii="Times New Roman" w:eastAsia="Arial" w:hAnsi="Times New Roman" w:cs="Times New Roman"/>
          <w:i/>
          <w:sz w:val="26"/>
          <w:szCs w:val="26"/>
        </w:rPr>
        <w:t>See, e.g., Palmer v. Stewart Cnty. Sch. Dist.</w:t>
      </w:r>
      <w:r>
        <w:rPr>
          <w:rFonts w:ascii="Times New Roman" w:eastAsia="Arial" w:hAnsi="Times New Roman" w:cs="Times New Roman"/>
          <w:sz w:val="26"/>
          <w:szCs w:val="26"/>
        </w:rPr>
        <w:t>, 178 F. App’x 999, 1003 (11</w:t>
      </w:r>
      <w:r w:rsidRPr="00F23CF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(per curiam) (noting that four-year catch-all statute of limitations applies to § 1981 actions arising under the 1991 amendments to § 1981 but not to causes of action under § 1981 as originally enacted). The jury instruction and verdict form may need to be adapted to address this issue in some cases.</w:t>
      </w:r>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When the Case Involves Disparate Treatment Claims Under More than One Statute</w:t>
      </w:r>
    </w:p>
    <w:p w:rsidR="001E02CA" w:rsidRPr="00F23CF3"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some cases, a plaintiff will bring a disparate treatment claim under more than one statute based on the same set of facts (Title VII, Equal Protection Clause, and 42 U.S.C. § 1981). The jury instruction on these separate claims can be combined because the analysis of disparate treatment claims under Title VII is similar to the analysis under the Equal Protection Clause and § 1981 where the facts on which the claims rely are the same.” </w:t>
      </w:r>
      <w:r>
        <w:rPr>
          <w:rFonts w:ascii="Times New Roman" w:eastAsia="Arial" w:hAnsi="Times New Roman" w:cs="Times New Roman"/>
          <w:i/>
          <w:sz w:val="26"/>
          <w:szCs w:val="26"/>
        </w:rPr>
        <w:t>Crawford v. Carroll</w:t>
      </w:r>
      <w:r>
        <w:rPr>
          <w:rFonts w:ascii="Times New Roman" w:eastAsia="Arial" w:hAnsi="Times New Roman" w:cs="Times New Roman"/>
          <w:sz w:val="26"/>
          <w:szCs w:val="26"/>
        </w:rPr>
        <w:t>, 529 F.3d 961, 970 (11</w:t>
      </w:r>
      <w:r w:rsidRPr="00F23CF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Three issues to consider when combining instructions: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causation standards may differ (especially if the courts decide that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xml:space="preserve">, 557 U.S. 167 (2009) applies in the § 1981 context), so the instruction and verdict form should take that into account;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statutes of limitations differ, so the instruction and verdict form should take that into account;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availability of punitive damages differs by statute and type of defendant, so the instruction and verdict form should take that into account. For more information on the causation issue, please see Annotation IV to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1E02CA" w:rsidRDefault="001E02CA" w:rsidP="00AF435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6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Additional Information</w:t>
      </w:r>
    </w:p>
    <w:p w:rsidR="00725167" w:rsidRPr="001E02CA" w:rsidRDefault="001E02CA" w:rsidP="00AF435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See Annotations and Comments for Pattern 4.5,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some of which may be relevant to a § 1981 claim because the analysis of disparate treatment claims under Title VII is similar to the analysis under § 1981 “where the facts on which the claims rely are the same.” </w:t>
      </w:r>
      <w:r>
        <w:rPr>
          <w:rFonts w:ascii="Times New Roman" w:eastAsia="Arial" w:hAnsi="Times New Roman" w:cs="Times New Roman"/>
          <w:i/>
          <w:sz w:val="26"/>
          <w:szCs w:val="26"/>
        </w:rPr>
        <w:t>Crawford v. Carroll</w:t>
      </w:r>
      <w:r>
        <w:rPr>
          <w:rFonts w:ascii="Times New Roman" w:eastAsia="Arial" w:hAnsi="Times New Roman" w:cs="Times New Roman"/>
          <w:sz w:val="26"/>
          <w:szCs w:val="26"/>
        </w:rPr>
        <w:t>, 529 F.3d 961, 970 (11</w:t>
      </w:r>
      <w:r w:rsidRPr="00F23CF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w:t>
      </w:r>
    </w:p>
    <w:sectPr w:rsidR="00725167" w:rsidRPr="001E0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3D" w:rsidRDefault="0092253D" w:rsidP="0092253D">
      <w:pPr>
        <w:spacing w:after="0" w:line="240" w:lineRule="auto"/>
      </w:pPr>
      <w:r>
        <w:separator/>
      </w:r>
    </w:p>
  </w:endnote>
  <w:endnote w:type="continuationSeparator" w:id="0">
    <w:p w:rsidR="0092253D" w:rsidRDefault="0092253D" w:rsidP="0092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3D" w:rsidRDefault="0092253D" w:rsidP="0092253D">
      <w:pPr>
        <w:spacing w:after="0" w:line="240" w:lineRule="auto"/>
      </w:pPr>
      <w:r>
        <w:separator/>
      </w:r>
    </w:p>
  </w:footnote>
  <w:footnote w:type="continuationSeparator" w:id="0">
    <w:p w:rsidR="0092253D" w:rsidRDefault="0092253D" w:rsidP="00922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E02CA"/>
    <w:rsid w:val="002B67EE"/>
    <w:rsid w:val="00427B27"/>
    <w:rsid w:val="00725167"/>
    <w:rsid w:val="0076151A"/>
    <w:rsid w:val="0081575C"/>
    <w:rsid w:val="008979D7"/>
    <w:rsid w:val="008B5673"/>
    <w:rsid w:val="0092253D"/>
    <w:rsid w:val="00A45395"/>
    <w:rsid w:val="00AF4355"/>
    <w:rsid w:val="00BA403B"/>
    <w:rsid w:val="00DC18AE"/>
    <w:rsid w:val="00E33549"/>
    <w:rsid w:val="00E7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2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3D"/>
  </w:style>
  <w:style w:type="paragraph" w:styleId="Footer">
    <w:name w:val="footer"/>
    <w:basedOn w:val="Normal"/>
    <w:link w:val="FooterChar"/>
    <w:uiPriority w:val="99"/>
    <w:unhideWhenUsed/>
    <w:rsid w:val="0092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2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3D"/>
  </w:style>
  <w:style w:type="paragraph" w:styleId="Footer">
    <w:name w:val="footer"/>
    <w:basedOn w:val="Normal"/>
    <w:link w:val="FooterChar"/>
    <w:uiPriority w:val="99"/>
    <w:unhideWhenUsed/>
    <w:rsid w:val="0092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16490</Characters>
  <Application>Microsoft Office Word</Application>
  <DocSecurity>0</DocSecurity>
  <Lines>137</Lines>
  <Paragraphs>38</Paragraphs>
  <ScaleCrop>false</ScaleCrop>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2014-04-04T16:11:00Z</dcterms:created>
  <dcterms:modified xsi:type="dcterms:W3CDTF">2014-06-19T20:55:00Z</dcterms:modified>
</cp:coreProperties>
</file>