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5E01" w:rsidRDefault="00695E01" w:rsidP="00CD09FC">
      <w:pPr>
        <w:spacing w:after="240" w:line="240" w:lineRule="auto"/>
        <w:jc w:val="both"/>
        <w:rPr>
          <w:rFonts w:ascii="Times New Roman" w:eastAsia="Arial" w:hAnsi="Times New Roman" w:cs="Times New Roman"/>
          <w:sz w:val="26"/>
          <w:szCs w:val="26"/>
        </w:rPr>
      </w:pPr>
      <w:bookmarkStart w:id="0" w:name="_GoBack"/>
      <w:r>
        <w:rPr>
          <w:rFonts w:ascii="Times New Roman" w:eastAsia="Arial" w:hAnsi="Times New Roman" w:cs="Times New Roman"/>
          <w:b/>
          <w:sz w:val="26"/>
          <w:szCs w:val="26"/>
          <w:u w:val="single"/>
        </w:rPr>
        <w:t>ANNOTATIONS AND COMMENTS</w:t>
      </w:r>
    </w:p>
    <w:p w:rsidR="00695E01" w:rsidRPr="00742E12" w:rsidRDefault="00695E01" w:rsidP="00CD09FC">
      <w:pPr>
        <w:spacing w:after="240" w:line="240" w:lineRule="auto"/>
        <w:ind w:firstLine="720"/>
        <w:jc w:val="both"/>
        <w:rPr>
          <w:rFonts w:ascii="Times New Roman" w:eastAsia="Arial" w:hAnsi="Times New Roman" w:cs="Times New Roman"/>
          <w:sz w:val="26"/>
          <w:szCs w:val="26"/>
        </w:rPr>
      </w:pPr>
      <w:r w:rsidRPr="00742E12">
        <w:rPr>
          <w:rFonts w:ascii="Times New Roman" w:eastAsia="Arial" w:hAnsi="Times New Roman" w:cs="Times New Roman"/>
          <w:sz w:val="26"/>
          <w:szCs w:val="26"/>
        </w:rPr>
        <w:t xml:space="preserve">The Eleventh Circuit held in </w:t>
      </w:r>
      <w:r w:rsidRPr="00742E12">
        <w:rPr>
          <w:rFonts w:ascii="Times New Roman" w:eastAsia="Arial" w:hAnsi="Times New Roman" w:cs="Times New Roman"/>
          <w:i/>
          <w:sz w:val="26"/>
          <w:szCs w:val="26"/>
        </w:rPr>
        <w:t>United States v. Pepe</w:t>
      </w:r>
      <w:r w:rsidRPr="00742E12">
        <w:rPr>
          <w:rFonts w:ascii="Times New Roman" w:eastAsia="Arial" w:hAnsi="Times New Roman" w:cs="Times New Roman"/>
          <w:sz w:val="26"/>
          <w:szCs w:val="26"/>
        </w:rPr>
        <w:t>, 747 F.2d 632, 675-76 (</w:t>
      </w:r>
      <w:r>
        <w:rPr>
          <w:rFonts w:ascii="Times New Roman" w:eastAsia="Arial" w:hAnsi="Times New Roman" w:cs="Times New Roman"/>
          <w:sz w:val="26"/>
          <w:szCs w:val="26"/>
        </w:rPr>
        <w:t>11</w:t>
      </w:r>
      <w:r w:rsidRPr="00742E12">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742E12">
        <w:rPr>
          <w:rFonts w:ascii="Times New Roman" w:eastAsia="Arial" w:hAnsi="Times New Roman" w:cs="Times New Roman"/>
          <w:sz w:val="26"/>
          <w:szCs w:val="26"/>
        </w:rPr>
        <w:t xml:space="preserve">Cir. 1984) that </w:t>
      </w:r>
      <w:r>
        <w:rPr>
          <w:rFonts w:ascii="Times New Roman" w:eastAsia="Arial" w:hAnsi="Times New Roman" w:cs="Times New Roman"/>
          <w:sz w:val="26"/>
          <w:szCs w:val="26"/>
        </w:rPr>
        <w:t>“</w:t>
      </w:r>
      <w:r w:rsidRPr="00742E12">
        <w:rPr>
          <w:rFonts w:ascii="Times New Roman" w:eastAsia="Arial" w:hAnsi="Times New Roman" w:cs="Times New Roman"/>
          <w:sz w:val="26"/>
          <w:szCs w:val="26"/>
        </w:rPr>
        <w:t xml:space="preserve">a plain reading of the statute indicates that RICO does not contain any separate </w:t>
      </w:r>
      <w:r w:rsidRPr="00A74516">
        <w:rPr>
          <w:rFonts w:ascii="Times New Roman" w:eastAsia="Arial" w:hAnsi="Times New Roman" w:cs="Times New Roman"/>
          <w:i/>
          <w:sz w:val="26"/>
          <w:szCs w:val="26"/>
        </w:rPr>
        <w:t>mens rea</w:t>
      </w:r>
      <w:r w:rsidRPr="00742E12">
        <w:rPr>
          <w:rFonts w:ascii="Times New Roman" w:eastAsia="Arial" w:hAnsi="Times New Roman" w:cs="Times New Roman"/>
          <w:sz w:val="26"/>
          <w:szCs w:val="26"/>
        </w:rPr>
        <w:t xml:space="preserve"> or scienter elements beyond those encompassed in its predicate acts.</w:t>
      </w:r>
      <w:r>
        <w:rPr>
          <w:rFonts w:ascii="Times New Roman" w:eastAsia="Arial" w:hAnsi="Times New Roman" w:cs="Times New Roman"/>
          <w:sz w:val="26"/>
          <w:szCs w:val="26"/>
        </w:rPr>
        <w:t>”</w:t>
      </w:r>
      <w:r w:rsidRPr="00742E12">
        <w:rPr>
          <w:rFonts w:ascii="Times New Roman" w:eastAsia="Arial" w:hAnsi="Times New Roman" w:cs="Times New Roman"/>
          <w:sz w:val="26"/>
          <w:szCs w:val="26"/>
        </w:rPr>
        <w:t xml:space="preserve"> As a result, in a </w:t>
      </w:r>
      <w:r>
        <w:rPr>
          <w:rFonts w:ascii="Times New Roman" w:eastAsia="Arial" w:hAnsi="Times New Roman" w:cs="Times New Roman"/>
          <w:sz w:val="26"/>
          <w:szCs w:val="26"/>
        </w:rPr>
        <w:t>§</w:t>
      </w:r>
      <w:r w:rsidRPr="00742E12">
        <w:rPr>
          <w:rFonts w:ascii="Times New Roman" w:eastAsia="Arial" w:hAnsi="Times New Roman" w:cs="Times New Roman"/>
          <w:sz w:val="26"/>
          <w:szCs w:val="26"/>
        </w:rPr>
        <w:t xml:space="preserve"> 1962</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1 </w:instrText>
      </w:r>
      <w:r>
        <w:rPr>
          <w:rFonts w:ascii="Times New Roman" w:eastAsia="Arial" w:hAnsi="Times New Roman" w:cs="Times New Roman"/>
          <w:sz w:val="26"/>
          <w:szCs w:val="26"/>
        </w:rPr>
        <w:fldChar w:fldCharType="end"/>
      </w:r>
      <w:r w:rsidRPr="00742E12">
        <w:rPr>
          <w:rFonts w:ascii="Times New Roman" w:eastAsia="Arial" w:hAnsi="Times New Roman" w:cs="Times New Roman"/>
          <w:sz w:val="26"/>
          <w:szCs w:val="26"/>
        </w:rPr>
        <w:t xml:space="preserve"> case, the only relevant mental state is that necessary to commit the predicate acts. </w:t>
      </w:r>
      <w:r w:rsidRPr="00742E12">
        <w:rPr>
          <w:rFonts w:ascii="Times New Roman" w:eastAsia="Arial" w:hAnsi="Times New Roman" w:cs="Times New Roman"/>
          <w:i/>
          <w:sz w:val="26"/>
          <w:szCs w:val="26"/>
        </w:rPr>
        <w:t>See, e.g., Edwards v. Prime, Inc.</w:t>
      </w:r>
      <w:r w:rsidRPr="00742E12">
        <w:rPr>
          <w:rFonts w:ascii="Times New Roman" w:eastAsia="Arial" w:hAnsi="Times New Roman" w:cs="Times New Roman"/>
          <w:sz w:val="26"/>
          <w:szCs w:val="26"/>
        </w:rPr>
        <w:t>, 602 F.3d 1276, 1292-97 (</w:t>
      </w:r>
      <w:r>
        <w:rPr>
          <w:rFonts w:ascii="Times New Roman" w:eastAsia="Arial" w:hAnsi="Times New Roman" w:cs="Times New Roman"/>
          <w:sz w:val="26"/>
          <w:szCs w:val="26"/>
        </w:rPr>
        <w:t>11</w:t>
      </w:r>
      <w:r w:rsidRPr="00742E12">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742E12">
        <w:rPr>
          <w:rFonts w:ascii="Times New Roman" w:eastAsia="Arial" w:hAnsi="Times New Roman" w:cs="Times New Roman"/>
          <w:sz w:val="26"/>
          <w:szCs w:val="26"/>
        </w:rPr>
        <w:t xml:space="preserve">Cir. 2010) (analyzing different knowledge and intent requirements of specific categories of predicate offenses). This is in contrast to a RICO conspiracy, which requires the additional element of agreement. </w:t>
      </w:r>
      <w:r w:rsidRPr="00742E12">
        <w:rPr>
          <w:rFonts w:ascii="Times New Roman" w:eastAsia="Arial" w:hAnsi="Times New Roman" w:cs="Times New Roman"/>
          <w:i/>
          <w:sz w:val="26"/>
          <w:szCs w:val="26"/>
        </w:rPr>
        <w:t>United States v. Martino</w:t>
      </w:r>
      <w:r w:rsidRPr="00742E12">
        <w:rPr>
          <w:rFonts w:ascii="Times New Roman" w:eastAsia="Arial" w:hAnsi="Times New Roman" w:cs="Times New Roman"/>
          <w:sz w:val="26"/>
          <w:szCs w:val="26"/>
        </w:rPr>
        <w:t>, 648 F.2d 367, 383 (</w:t>
      </w:r>
      <w:r>
        <w:rPr>
          <w:rFonts w:ascii="Times New Roman" w:eastAsia="Arial" w:hAnsi="Times New Roman" w:cs="Times New Roman"/>
          <w:sz w:val="26"/>
          <w:szCs w:val="26"/>
        </w:rPr>
        <w:t>5</w:t>
      </w:r>
      <w:r w:rsidRPr="00742E12">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742E12">
        <w:rPr>
          <w:rFonts w:ascii="Times New Roman" w:eastAsia="Arial" w:hAnsi="Times New Roman" w:cs="Times New Roman"/>
          <w:sz w:val="26"/>
          <w:szCs w:val="26"/>
        </w:rPr>
        <w:t>Cir. 1981).</w:t>
      </w:r>
    </w:p>
    <w:p w:rsidR="00695E01" w:rsidRPr="00742E12" w:rsidRDefault="00695E01" w:rsidP="00CD09FC">
      <w:pPr>
        <w:spacing w:after="240" w:line="240" w:lineRule="auto"/>
        <w:ind w:firstLine="720"/>
        <w:jc w:val="both"/>
        <w:rPr>
          <w:rFonts w:ascii="Times New Roman" w:eastAsia="Arial" w:hAnsi="Times New Roman" w:cs="Times New Roman"/>
          <w:sz w:val="26"/>
          <w:szCs w:val="26"/>
        </w:rPr>
      </w:pPr>
      <w:r w:rsidRPr="00742E12">
        <w:rPr>
          <w:rFonts w:ascii="Times New Roman" w:eastAsia="Arial" w:hAnsi="Times New Roman" w:cs="Times New Roman"/>
          <w:sz w:val="26"/>
          <w:szCs w:val="26"/>
        </w:rPr>
        <w:t>The Eleventh Circuit</w:t>
      </w:r>
      <w:r>
        <w:rPr>
          <w:rFonts w:ascii="Times New Roman" w:eastAsia="Arial" w:hAnsi="Times New Roman" w:cs="Times New Roman"/>
          <w:sz w:val="26"/>
          <w:szCs w:val="26"/>
        </w:rPr>
        <w:t>’</w:t>
      </w:r>
      <w:r w:rsidRPr="00742E12">
        <w:rPr>
          <w:rFonts w:ascii="Times New Roman" w:eastAsia="Arial" w:hAnsi="Times New Roman" w:cs="Times New Roman"/>
          <w:sz w:val="26"/>
          <w:szCs w:val="26"/>
        </w:rPr>
        <w:t xml:space="preserve">s treatment of this issue is, however, not completely consistent. For example, in </w:t>
      </w:r>
      <w:r w:rsidRPr="00742E12">
        <w:rPr>
          <w:rFonts w:ascii="Times New Roman" w:eastAsia="Arial" w:hAnsi="Times New Roman" w:cs="Times New Roman"/>
          <w:i/>
          <w:sz w:val="26"/>
          <w:szCs w:val="26"/>
        </w:rPr>
        <w:t>Pepe</w:t>
      </w:r>
      <w:r w:rsidRPr="00742E12">
        <w:rPr>
          <w:rFonts w:ascii="Times New Roman" w:eastAsia="Arial" w:hAnsi="Times New Roman" w:cs="Times New Roman"/>
          <w:sz w:val="26"/>
          <w:szCs w:val="26"/>
        </w:rPr>
        <w:t xml:space="preserve">, the court affirmed where a Defendant had been acquitted of RICO conspiracy but found guilty of a </w:t>
      </w:r>
      <w:r>
        <w:rPr>
          <w:rFonts w:ascii="Times New Roman" w:eastAsia="Arial" w:hAnsi="Times New Roman" w:cs="Times New Roman"/>
          <w:sz w:val="26"/>
          <w:szCs w:val="26"/>
        </w:rPr>
        <w:t>§</w:t>
      </w:r>
      <w:r w:rsidRPr="00742E12">
        <w:rPr>
          <w:rFonts w:ascii="Times New Roman" w:eastAsia="Arial" w:hAnsi="Times New Roman" w:cs="Times New Roman"/>
          <w:sz w:val="26"/>
          <w:szCs w:val="26"/>
        </w:rPr>
        <w:t xml:space="preserve"> 1962</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3 </w:instrText>
      </w:r>
      <w:r>
        <w:rPr>
          <w:rFonts w:ascii="Times New Roman" w:eastAsia="Arial" w:hAnsi="Times New Roman" w:cs="Times New Roman"/>
          <w:sz w:val="26"/>
          <w:szCs w:val="26"/>
        </w:rPr>
        <w:fldChar w:fldCharType="end"/>
      </w:r>
      <w:r w:rsidRPr="00742E12">
        <w:rPr>
          <w:rFonts w:ascii="Times New Roman" w:eastAsia="Arial" w:hAnsi="Times New Roman" w:cs="Times New Roman"/>
          <w:sz w:val="26"/>
          <w:szCs w:val="26"/>
        </w:rPr>
        <w:t xml:space="preserve"> violation, noting that the evidence was sufficient to permit the jury to find that the Defendant engaged in racketeering activity and was an active participant in the enterprise, which was characterized as </w:t>
      </w:r>
      <w:r>
        <w:rPr>
          <w:rFonts w:ascii="Times New Roman" w:eastAsia="Arial" w:hAnsi="Times New Roman" w:cs="Times New Roman"/>
          <w:sz w:val="26"/>
          <w:szCs w:val="26"/>
        </w:rPr>
        <w:t>“</w:t>
      </w:r>
      <w:r w:rsidRPr="00742E12">
        <w:rPr>
          <w:rFonts w:ascii="Times New Roman" w:eastAsia="Arial" w:hAnsi="Times New Roman" w:cs="Times New Roman"/>
          <w:sz w:val="26"/>
          <w:szCs w:val="26"/>
        </w:rPr>
        <w:t>knowing participant in the enterprise.</w:t>
      </w:r>
      <w:r>
        <w:rPr>
          <w:rFonts w:ascii="Times New Roman" w:eastAsia="Arial" w:hAnsi="Times New Roman" w:cs="Times New Roman"/>
          <w:sz w:val="26"/>
          <w:szCs w:val="26"/>
        </w:rPr>
        <w:t>”</w:t>
      </w:r>
      <w:r w:rsidRPr="00742E12">
        <w:rPr>
          <w:rFonts w:ascii="Times New Roman" w:eastAsia="Arial" w:hAnsi="Times New Roman" w:cs="Times New Roman"/>
          <w:sz w:val="26"/>
          <w:szCs w:val="26"/>
        </w:rPr>
        <w:t xml:space="preserve"> 747 F.2d at 665. As between these two, the requirement that the Defendant be an active participant seems to be more appropriate but this is not a completely settled area of law in this circuit. Accordingly, current case activity should be researched before this instruction is used to determine if more recent circuit authority on this issue is available.</w:t>
      </w:r>
    </w:p>
    <w:p w:rsidR="00695E01" w:rsidRPr="00742E12" w:rsidRDefault="00695E01" w:rsidP="00CD09FC">
      <w:pPr>
        <w:spacing w:after="240" w:line="240" w:lineRule="auto"/>
        <w:ind w:firstLine="720"/>
        <w:jc w:val="both"/>
        <w:rPr>
          <w:rFonts w:ascii="Times New Roman" w:eastAsia="Arial" w:hAnsi="Times New Roman" w:cs="Times New Roman"/>
          <w:sz w:val="26"/>
          <w:szCs w:val="26"/>
        </w:rPr>
      </w:pPr>
      <w:r w:rsidRPr="00742E12">
        <w:rPr>
          <w:rFonts w:ascii="Times New Roman" w:eastAsia="Arial" w:hAnsi="Times New Roman" w:cs="Times New Roman"/>
          <w:sz w:val="26"/>
          <w:szCs w:val="26"/>
        </w:rPr>
        <w:t xml:space="preserve">This instruction assumes a single plaintiff suing a single defendant. It needs to be modified if there are multiple parties. </w:t>
      </w:r>
    </w:p>
    <w:p w:rsidR="00695E01" w:rsidRPr="00742E12" w:rsidRDefault="00695E01" w:rsidP="00CD09FC">
      <w:pPr>
        <w:spacing w:after="240" w:line="240" w:lineRule="auto"/>
        <w:ind w:firstLine="720"/>
        <w:jc w:val="both"/>
        <w:rPr>
          <w:rFonts w:ascii="Times New Roman" w:eastAsia="Arial" w:hAnsi="Times New Roman" w:cs="Times New Roman"/>
          <w:sz w:val="26"/>
          <w:szCs w:val="26"/>
        </w:rPr>
      </w:pPr>
      <w:r w:rsidRPr="00742E12">
        <w:rPr>
          <w:rFonts w:ascii="Times New Roman" w:eastAsia="Arial" w:hAnsi="Times New Roman" w:cs="Times New Roman"/>
          <w:sz w:val="26"/>
          <w:szCs w:val="26"/>
        </w:rPr>
        <w:t xml:space="preserve">In </w:t>
      </w:r>
      <w:r w:rsidRPr="00742E12">
        <w:rPr>
          <w:rFonts w:ascii="Times New Roman" w:eastAsia="Arial" w:hAnsi="Times New Roman" w:cs="Times New Roman"/>
          <w:i/>
          <w:sz w:val="26"/>
          <w:szCs w:val="26"/>
        </w:rPr>
        <w:t>Beck v. Prupis</w:t>
      </w:r>
      <w:r w:rsidRPr="00742E12">
        <w:rPr>
          <w:rFonts w:ascii="Times New Roman" w:eastAsia="Arial" w:hAnsi="Times New Roman" w:cs="Times New Roman"/>
          <w:sz w:val="26"/>
          <w:szCs w:val="26"/>
        </w:rPr>
        <w:t>, 162 F.3d 1090, 1095 n.8 (</w:t>
      </w:r>
      <w:r>
        <w:rPr>
          <w:rFonts w:ascii="Times New Roman" w:eastAsia="Arial" w:hAnsi="Times New Roman" w:cs="Times New Roman"/>
          <w:sz w:val="26"/>
          <w:szCs w:val="26"/>
        </w:rPr>
        <w:t>11</w:t>
      </w:r>
      <w:r w:rsidRPr="00742E12">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742E12">
        <w:rPr>
          <w:rFonts w:ascii="Times New Roman" w:eastAsia="Arial" w:hAnsi="Times New Roman" w:cs="Times New Roman"/>
          <w:sz w:val="26"/>
          <w:szCs w:val="26"/>
        </w:rPr>
        <w:t xml:space="preserve">Cir. 1998), the Eleventh Circuit noted that </w:t>
      </w:r>
      <w:r>
        <w:rPr>
          <w:rFonts w:ascii="Times New Roman" w:eastAsia="Arial" w:hAnsi="Times New Roman" w:cs="Times New Roman"/>
          <w:sz w:val="26"/>
          <w:szCs w:val="26"/>
        </w:rPr>
        <w:t>§</w:t>
      </w:r>
      <w:r w:rsidRPr="00742E12">
        <w:rPr>
          <w:rFonts w:ascii="Times New Roman" w:eastAsia="Arial" w:hAnsi="Times New Roman" w:cs="Times New Roman"/>
          <w:sz w:val="26"/>
          <w:szCs w:val="26"/>
        </w:rPr>
        <w:t xml:space="preserve"> 1962</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1 </w:instrText>
      </w:r>
      <w:r>
        <w:rPr>
          <w:rFonts w:ascii="Times New Roman" w:eastAsia="Arial" w:hAnsi="Times New Roman" w:cs="Times New Roman"/>
          <w:sz w:val="26"/>
          <w:szCs w:val="26"/>
        </w:rPr>
        <w:fldChar w:fldCharType="end"/>
      </w:r>
      <w:r w:rsidRPr="00742E12">
        <w:rPr>
          <w:rFonts w:ascii="Times New Roman" w:eastAsia="Arial" w:hAnsi="Times New Roman" w:cs="Times New Roman"/>
          <w:sz w:val="26"/>
          <w:szCs w:val="26"/>
        </w:rPr>
        <w:t xml:space="preserve"> of RICO prohibits the investment of income derived from a pattern of racketeering activity in any enterprise involving interstate commerce. See also </w:t>
      </w:r>
      <w:r w:rsidRPr="00742E12">
        <w:rPr>
          <w:rFonts w:ascii="Times New Roman" w:eastAsia="Arial" w:hAnsi="Times New Roman" w:cs="Times New Roman"/>
          <w:i/>
          <w:sz w:val="26"/>
          <w:szCs w:val="26"/>
        </w:rPr>
        <w:t>Pelletier v. Zweifel</w:t>
      </w:r>
      <w:r w:rsidRPr="00742E12">
        <w:rPr>
          <w:rFonts w:ascii="Times New Roman" w:eastAsia="Arial" w:hAnsi="Times New Roman" w:cs="Times New Roman"/>
          <w:sz w:val="26"/>
          <w:szCs w:val="26"/>
        </w:rPr>
        <w:t>, 921 F.2d 1465, 1489 (</w:t>
      </w:r>
      <w:r>
        <w:rPr>
          <w:rFonts w:ascii="Times New Roman" w:eastAsia="Arial" w:hAnsi="Times New Roman" w:cs="Times New Roman"/>
          <w:sz w:val="26"/>
          <w:szCs w:val="26"/>
        </w:rPr>
        <w:t>11</w:t>
      </w:r>
      <w:r w:rsidRPr="00742E12">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742E12">
        <w:rPr>
          <w:rFonts w:ascii="Times New Roman" w:eastAsia="Arial" w:hAnsi="Times New Roman" w:cs="Times New Roman"/>
          <w:sz w:val="26"/>
          <w:szCs w:val="26"/>
        </w:rPr>
        <w:t>Cir. Ga. 1991) ("Section 1962</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1 </w:instrText>
      </w:r>
      <w:r>
        <w:rPr>
          <w:rFonts w:ascii="Times New Roman" w:eastAsia="Arial" w:hAnsi="Times New Roman" w:cs="Times New Roman"/>
          <w:sz w:val="26"/>
          <w:szCs w:val="26"/>
        </w:rPr>
        <w:fldChar w:fldCharType="end"/>
      </w:r>
      <w:r w:rsidRPr="00742E12">
        <w:rPr>
          <w:rFonts w:ascii="Times New Roman" w:eastAsia="Arial" w:hAnsi="Times New Roman" w:cs="Times New Roman"/>
          <w:sz w:val="26"/>
          <w:szCs w:val="26"/>
        </w:rPr>
        <w:t xml:space="preserve"> makes it a crime for anyone who has derived income from </w:t>
      </w:r>
      <w:r>
        <w:rPr>
          <w:rFonts w:ascii="Times New Roman" w:eastAsia="Arial" w:hAnsi="Times New Roman" w:cs="Times New Roman"/>
          <w:sz w:val="26"/>
          <w:szCs w:val="26"/>
        </w:rPr>
        <w:t>‘</w:t>
      </w:r>
      <w:r w:rsidRPr="00742E12">
        <w:rPr>
          <w:rFonts w:ascii="Times New Roman" w:eastAsia="Arial" w:hAnsi="Times New Roman" w:cs="Times New Roman"/>
          <w:sz w:val="26"/>
          <w:szCs w:val="26"/>
        </w:rPr>
        <w:t>a pattern of racketeering activity</w:t>
      </w:r>
      <w:r>
        <w:rPr>
          <w:rFonts w:ascii="Times New Roman" w:eastAsia="Arial" w:hAnsi="Times New Roman" w:cs="Times New Roman"/>
          <w:sz w:val="26"/>
          <w:szCs w:val="26"/>
        </w:rPr>
        <w:t xml:space="preserve">… </w:t>
      </w:r>
      <w:r w:rsidRPr="00742E12">
        <w:rPr>
          <w:rFonts w:ascii="Times New Roman" w:eastAsia="Arial" w:hAnsi="Times New Roman" w:cs="Times New Roman"/>
          <w:sz w:val="26"/>
          <w:szCs w:val="26"/>
        </w:rPr>
        <w:t>in which such person has participated as a principal</w:t>
      </w:r>
      <w:r>
        <w:rPr>
          <w:rFonts w:ascii="Times New Roman" w:eastAsia="Arial" w:hAnsi="Times New Roman" w:cs="Times New Roman"/>
          <w:sz w:val="26"/>
          <w:szCs w:val="26"/>
        </w:rPr>
        <w:t xml:space="preserve">… </w:t>
      </w:r>
      <w:r w:rsidRPr="00742E12">
        <w:rPr>
          <w:rFonts w:ascii="Times New Roman" w:eastAsia="Arial" w:hAnsi="Times New Roman" w:cs="Times New Roman"/>
          <w:sz w:val="26"/>
          <w:szCs w:val="26"/>
        </w:rPr>
        <w:t>to use or invest, directly or indirectly, any part of such income</w:t>
      </w:r>
      <w:r>
        <w:rPr>
          <w:rFonts w:ascii="Times New Roman" w:eastAsia="Arial" w:hAnsi="Times New Roman" w:cs="Times New Roman"/>
          <w:sz w:val="26"/>
          <w:szCs w:val="26"/>
        </w:rPr>
        <w:t xml:space="preserve">… </w:t>
      </w:r>
      <w:r w:rsidRPr="00742E12">
        <w:rPr>
          <w:rFonts w:ascii="Times New Roman" w:eastAsia="Arial" w:hAnsi="Times New Roman" w:cs="Times New Roman"/>
          <w:sz w:val="26"/>
          <w:szCs w:val="26"/>
        </w:rPr>
        <w:t>in acquisition of any interest in, or the establishment or operation of, any enterprise</w:t>
      </w:r>
      <w:r>
        <w:rPr>
          <w:rFonts w:ascii="Times New Roman" w:eastAsia="Arial" w:hAnsi="Times New Roman" w:cs="Times New Roman"/>
          <w:sz w:val="26"/>
          <w:szCs w:val="26"/>
        </w:rPr>
        <w:t xml:space="preserve">… </w:t>
      </w:r>
      <w:r w:rsidRPr="00742E12">
        <w:rPr>
          <w:rFonts w:ascii="Times New Roman" w:eastAsia="Arial" w:hAnsi="Times New Roman" w:cs="Times New Roman"/>
          <w:sz w:val="26"/>
          <w:szCs w:val="26"/>
        </w:rPr>
        <w:t>engaged in</w:t>
      </w:r>
      <w:r>
        <w:rPr>
          <w:rFonts w:ascii="Times New Roman" w:eastAsia="Arial" w:hAnsi="Times New Roman" w:cs="Times New Roman"/>
          <w:sz w:val="26"/>
          <w:szCs w:val="26"/>
        </w:rPr>
        <w:t xml:space="preserve">… </w:t>
      </w:r>
      <w:r w:rsidRPr="00742E12">
        <w:rPr>
          <w:rFonts w:ascii="Times New Roman" w:eastAsia="Arial" w:hAnsi="Times New Roman" w:cs="Times New Roman"/>
          <w:sz w:val="26"/>
          <w:szCs w:val="26"/>
        </w:rPr>
        <w:t>interstate</w:t>
      </w:r>
      <w:r>
        <w:rPr>
          <w:rFonts w:ascii="Times New Roman" w:eastAsia="Arial" w:hAnsi="Times New Roman" w:cs="Times New Roman"/>
          <w:sz w:val="26"/>
          <w:szCs w:val="26"/>
        </w:rPr>
        <w:t xml:space="preserve">… </w:t>
      </w:r>
      <w:r w:rsidRPr="00742E12">
        <w:rPr>
          <w:rFonts w:ascii="Times New Roman" w:eastAsia="Arial" w:hAnsi="Times New Roman" w:cs="Times New Roman"/>
          <w:sz w:val="26"/>
          <w:szCs w:val="26"/>
        </w:rPr>
        <w:t xml:space="preserve">commerce.") (quoting 18 U.S.C. </w:t>
      </w:r>
      <w:r>
        <w:rPr>
          <w:rFonts w:ascii="Times New Roman" w:eastAsia="Arial" w:hAnsi="Times New Roman" w:cs="Times New Roman"/>
          <w:sz w:val="26"/>
          <w:szCs w:val="26"/>
        </w:rPr>
        <w:t>§</w:t>
      </w:r>
      <w:r w:rsidRPr="00742E12">
        <w:rPr>
          <w:rFonts w:ascii="Times New Roman" w:eastAsia="Arial" w:hAnsi="Times New Roman" w:cs="Times New Roman"/>
          <w:sz w:val="26"/>
          <w:szCs w:val="26"/>
        </w:rPr>
        <w:t xml:space="preserve"> 1962</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1 </w:instrText>
      </w:r>
      <w:r>
        <w:rPr>
          <w:rFonts w:ascii="Times New Roman" w:eastAsia="Arial" w:hAnsi="Times New Roman" w:cs="Times New Roman"/>
          <w:sz w:val="26"/>
          <w:szCs w:val="26"/>
        </w:rPr>
        <w:fldChar w:fldCharType="end"/>
      </w:r>
      <w:r w:rsidRPr="00742E12">
        <w:rPr>
          <w:rFonts w:ascii="Times New Roman" w:eastAsia="Arial" w:hAnsi="Times New Roman" w:cs="Times New Roman"/>
          <w:sz w:val="26"/>
          <w:szCs w:val="26"/>
        </w:rPr>
        <w:t xml:space="preserve">); </w:t>
      </w:r>
      <w:r w:rsidRPr="00742E12">
        <w:rPr>
          <w:rFonts w:ascii="Times New Roman" w:eastAsia="Arial" w:hAnsi="Times New Roman" w:cs="Times New Roman"/>
          <w:i/>
          <w:sz w:val="26"/>
          <w:szCs w:val="26"/>
        </w:rPr>
        <w:t>Club Car, Inc. v. Club Car (Quebec) Import, Inc.</w:t>
      </w:r>
      <w:r w:rsidRPr="00742E12">
        <w:rPr>
          <w:rFonts w:ascii="Times New Roman" w:eastAsia="Arial" w:hAnsi="Times New Roman" w:cs="Times New Roman"/>
          <w:sz w:val="26"/>
          <w:szCs w:val="26"/>
        </w:rPr>
        <w:t>, 276 F. Supp. 2d 1276, 1288 (S.D. Ga. 2003) ("Section 1962</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1 </w:instrText>
      </w:r>
      <w:r>
        <w:rPr>
          <w:rFonts w:ascii="Times New Roman" w:eastAsia="Arial" w:hAnsi="Times New Roman" w:cs="Times New Roman"/>
          <w:sz w:val="26"/>
          <w:szCs w:val="26"/>
        </w:rPr>
        <w:fldChar w:fldCharType="end"/>
      </w:r>
      <w:r w:rsidRPr="00742E12">
        <w:rPr>
          <w:rFonts w:ascii="Times New Roman" w:eastAsia="Arial" w:hAnsi="Times New Roman" w:cs="Times New Roman"/>
          <w:sz w:val="26"/>
          <w:szCs w:val="26"/>
        </w:rPr>
        <w:t xml:space="preserve"> has two components: </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1 </w:instrText>
      </w:r>
      <w:r>
        <w:rPr>
          <w:rFonts w:ascii="Times New Roman" w:eastAsia="Arial" w:hAnsi="Times New Roman" w:cs="Times New Roman"/>
          <w:sz w:val="26"/>
          <w:szCs w:val="26"/>
        </w:rPr>
        <w:fldChar w:fldCharType="end"/>
      </w:r>
      <w:r w:rsidRPr="00742E12">
        <w:rPr>
          <w:rFonts w:ascii="Times New Roman" w:eastAsia="Arial" w:hAnsi="Times New Roman" w:cs="Times New Roman"/>
          <w:sz w:val="26"/>
          <w:szCs w:val="26"/>
        </w:rPr>
        <w:t xml:space="preserve"> receiving income from a pattern of racketeering activity, and </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2 </w:instrText>
      </w:r>
      <w:r>
        <w:rPr>
          <w:rFonts w:ascii="Times New Roman" w:eastAsia="Arial" w:hAnsi="Times New Roman" w:cs="Times New Roman"/>
          <w:sz w:val="26"/>
          <w:szCs w:val="26"/>
        </w:rPr>
        <w:fldChar w:fldCharType="end"/>
      </w:r>
      <w:r w:rsidRPr="00742E12">
        <w:rPr>
          <w:rFonts w:ascii="Times New Roman" w:eastAsia="Arial" w:hAnsi="Times New Roman" w:cs="Times New Roman"/>
          <w:sz w:val="26"/>
          <w:szCs w:val="26"/>
        </w:rPr>
        <w:t xml:space="preserve"> investing that income in an enterprise.") (quoting </w:t>
      </w:r>
      <w:r w:rsidRPr="00742E12">
        <w:rPr>
          <w:rFonts w:ascii="Times New Roman" w:eastAsia="Arial" w:hAnsi="Times New Roman" w:cs="Times New Roman"/>
          <w:i/>
          <w:sz w:val="26"/>
          <w:szCs w:val="26"/>
        </w:rPr>
        <w:t>Georgia v. Dairymen, Inc.</w:t>
      </w:r>
      <w:r w:rsidRPr="00742E12">
        <w:rPr>
          <w:rFonts w:ascii="Times New Roman" w:eastAsia="Arial" w:hAnsi="Times New Roman" w:cs="Times New Roman"/>
          <w:sz w:val="26"/>
          <w:szCs w:val="26"/>
        </w:rPr>
        <w:t>, 813 F. Supp. 1580, 1584 (S.D. Ga. 1991)).</w:t>
      </w:r>
    </w:p>
    <w:p w:rsidR="00695E01" w:rsidRPr="00742E12" w:rsidRDefault="00695E01" w:rsidP="00CD09FC">
      <w:pPr>
        <w:spacing w:after="240" w:line="240" w:lineRule="auto"/>
        <w:ind w:firstLine="720"/>
        <w:jc w:val="both"/>
        <w:rPr>
          <w:rFonts w:ascii="Times New Roman" w:eastAsia="Arial" w:hAnsi="Times New Roman" w:cs="Times New Roman"/>
          <w:sz w:val="26"/>
          <w:szCs w:val="26"/>
        </w:rPr>
      </w:pPr>
      <w:r w:rsidRPr="00742E12">
        <w:rPr>
          <w:rFonts w:ascii="Times New Roman" w:eastAsia="Arial" w:hAnsi="Times New Roman" w:cs="Times New Roman"/>
          <w:sz w:val="26"/>
          <w:szCs w:val="26"/>
        </w:rPr>
        <w:t xml:space="preserve">The definition of </w:t>
      </w:r>
      <w:r>
        <w:rPr>
          <w:rFonts w:ascii="Times New Roman" w:eastAsia="Arial" w:hAnsi="Times New Roman" w:cs="Times New Roman"/>
          <w:sz w:val="26"/>
          <w:szCs w:val="26"/>
        </w:rPr>
        <w:t>“</w:t>
      </w:r>
      <w:r w:rsidRPr="00742E12">
        <w:rPr>
          <w:rFonts w:ascii="Times New Roman" w:eastAsia="Arial" w:hAnsi="Times New Roman" w:cs="Times New Roman"/>
          <w:sz w:val="26"/>
          <w:szCs w:val="26"/>
        </w:rPr>
        <w:t>predicate act</w:t>
      </w:r>
      <w:r>
        <w:rPr>
          <w:rFonts w:ascii="Times New Roman" w:eastAsia="Arial" w:hAnsi="Times New Roman" w:cs="Times New Roman"/>
          <w:sz w:val="26"/>
          <w:szCs w:val="26"/>
        </w:rPr>
        <w:t>”</w:t>
      </w:r>
      <w:r w:rsidRPr="00742E12">
        <w:rPr>
          <w:rFonts w:ascii="Times New Roman" w:eastAsia="Arial" w:hAnsi="Times New Roman" w:cs="Times New Roman"/>
          <w:sz w:val="26"/>
          <w:szCs w:val="26"/>
        </w:rPr>
        <w:t xml:space="preserve"> comes from </w:t>
      </w:r>
      <w:r w:rsidRPr="00742E12">
        <w:rPr>
          <w:rFonts w:ascii="Times New Roman" w:eastAsia="Arial" w:hAnsi="Times New Roman" w:cs="Times New Roman"/>
          <w:i/>
          <w:sz w:val="26"/>
          <w:szCs w:val="26"/>
        </w:rPr>
        <w:t>Williams v. Mohawk Indus., Inc.</w:t>
      </w:r>
      <w:r w:rsidRPr="00742E12">
        <w:rPr>
          <w:rFonts w:ascii="Times New Roman" w:eastAsia="Arial" w:hAnsi="Times New Roman" w:cs="Times New Roman"/>
          <w:sz w:val="26"/>
          <w:szCs w:val="26"/>
        </w:rPr>
        <w:t>, 465 F.3d 1277, 1283 (</w:t>
      </w:r>
      <w:r>
        <w:rPr>
          <w:rFonts w:ascii="Times New Roman" w:eastAsia="Arial" w:hAnsi="Times New Roman" w:cs="Times New Roman"/>
          <w:sz w:val="26"/>
          <w:szCs w:val="26"/>
        </w:rPr>
        <w:t>11</w:t>
      </w:r>
      <w:r w:rsidRPr="00742E12">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742E12">
        <w:rPr>
          <w:rFonts w:ascii="Times New Roman" w:eastAsia="Arial" w:hAnsi="Times New Roman" w:cs="Times New Roman"/>
          <w:sz w:val="26"/>
          <w:szCs w:val="26"/>
        </w:rPr>
        <w:t xml:space="preserve">Cir. 2006) (quoting </w:t>
      </w:r>
      <w:r w:rsidRPr="00742E12">
        <w:rPr>
          <w:rFonts w:ascii="Times New Roman" w:eastAsia="Arial" w:hAnsi="Times New Roman" w:cs="Times New Roman"/>
          <w:i/>
          <w:sz w:val="26"/>
          <w:szCs w:val="26"/>
        </w:rPr>
        <w:t>Maiz v. Virani</w:t>
      </w:r>
      <w:r w:rsidRPr="00742E12">
        <w:rPr>
          <w:rFonts w:ascii="Times New Roman" w:eastAsia="Arial" w:hAnsi="Times New Roman" w:cs="Times New Roman"/>
          <w:sz w:val="26"/>
          <w:szCs w:val="26"/>
        </w:rPr>
        <w:t>, 253 F.3d 641, 671 (</w:t>
      </w:r>
      <w:r>
        <w:rPr>
          <w:rFonts w:ascii="Times New Roman" w:eastAsia="Arial" w:hAnsi="Times New Roman" w:cs="Times New Roman"/>
          <w:sz w:val="26"/>
          <w:szCs w:val="26"/>
        </w:rPr>
        <w:t>11</w:t>
      </w:r>
      <w:r w:rsidRPr="00742E12">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742E12">
        <w:rPr>
          <w:rFonts w:ascii="Times New Roman" w:eastAsia="Arial" w:hAnsi="Times New Roman" w:cs="Times New Roman"/>
          <w:sz w:val="26"/>
          <w:szCs w:val="26"/>
        </w:rPr>
        <w:t xml:space="preserve">Cir. 2001)). "A </w:t>
      </w:r>
      <w:r>
        <w:rPr>
          <w:rFonts w:ascii="Times New Roman" w:eastAsia="Arial" w:hAnsi="Times New Roman" w:cs="Times New Roman"/>
          <w:sz w:val="26"/>
          <w:szCs w:val="26"/>
        </w:rPr>
        <w:t>‘</w:t>
      </w:r>
      <w:r w:rsidRPr="00742E12">
        <w:rPr>
          <w:rFonts w:ascii="Times New Roman" w:eastAsia="Arial" w:hAnsi="Times New Roman" w:cs="Times New Roman"/>
          <w:sz w:val="26"/>
          <w:szCs w:val="26"/>
        </w:rPr>
        <w:t xml:space="preserve">pattern' of racketeering activity is shown when a racketeer commits at least two distinct but related predicate acts." </w:t>
      </w:r>
      <w:r w:rsidRPr="00742E12">
        <w:rPr>
          <w:rFonts w:ascii="Times New Roman" w:eastAsia="Arial" w:hAnsi="Times New Roman" w:cs="Times New Roman"/>
          <w:i/>
          <w:sz w:val="26"/>
          <w:szCs w:val="26"/>
        </w:rPr>
        <w:t>Id</w:t>
      </w:r>
      <w:r w:rsidRPr="00742E12">
        <w:rPr>
          <w:rFonts w:ascii="Times New Roman" w:eastAsia="Arial" w:hAnsi="Times New Roman" w:cs="Times New Roman"/>
          <w:sz w:val="26"/>
          <w:szCs w:val="26"/>
        </w:rPr>
        <w:t xml:space="preserve">. (quoting </w:t>
      </w:r>
      <w:r w:rsidRPr="00742E12">
        <w:rPr>
          <w:rFonts w:ascii="Times New Roman" w:eastAsia="Arial" w:hAnsi="Times New Roman" w:cs="Times New Roman"/>
          <w:i/>
          <w:sz w:val="26"/>
          <w:szCs w:val="26"/>
        </w:rPr>
        <w:t>Maiz v. Virani</w:t>
      </w:r>
      <w:r w:rsidRPr="00742E12">
        <w:rPr>
          <w:rFonts w:ascii="Times New Roman" w:eastAsia="Arial" w:hAnsi="Times New Roman" w:cs="Times New Roman"/>
          <w:sz w:val="26"/>
          <w:szCs w:val="26"/>
        </w:rPr>
        <w:t xml:space="preserve">, 253 F.3d at 671). In </w:t>
      </w:r>
      <w:r w:rsidRPr="00056528">
        <w:rPr>
          <w:rFonts w:ascii="Times New Roman" w:eastAsia="Arial" w:hAnsi="Times New Roman" w:cs="Times New Roman"/>
          <w:i/>
          <w:sz w:val="26"/>
          <w:szCs w:val="26"/>
        </w:rPr>
        <w:t>Williams</w:t>
      </w:r>
      <w:r w:rsidRPr="00742E12">
        <w:rPr>
          <w:rFonts w:ascii="Times New Roman" w:eastAsia="Arial" w:hAnsi="Times New Roman" w:cs="Times New Roman"/>
          <w:sz w:val="26"/>
          <w:szCs w:val="26"/>
        </w:rPr>
        <w:t>, the Court affirmed denial of the defendant's Rule 12</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2 </w:instrText>
      </w:r>
      <w:r>
        <w:rPr>
          <w:rFonts w:ascii="Times New Roman" w:eastAsia="Arial" w:hAnsi="Times New Roman" w:cs="Times New Roman"/>
          <w:sz w:val="26"/>
          <w:szCs w:val="26"/>
        </w:rPr>
        <w:fldChar w:fldCharType="end"/>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6 </w:instrText>
      </w:r>
      <w:r>
        <w:rPr>
          <w:rFonts w:ascii="Times New Roman" w:eastAsia="Arial" w:hAnsi="Times New Roman" w:cs="Times New Roman"/>
          <w:sz w:val="26"/>
          <w:szCs w:val="26"/>
        </w:rPr>
        <w:fldChar w:fldCharType="end"/>
      </w:r>
      <w:r w:rsidRPr="00742E12">
        <w:rPr>
          <w:rFonts w:ascii="Times New Roman" w:eastAsia="Arial" w:hAnsi="Times New Roman" w:cs="Times New Roman"/>
          <w:sz w:val="26"/>
          <w:szCs w:val="26"/>
        </w:rPr>
        <w:t xml:space="preserve"> motion to dismiss the RICO claims, finding that the plaintiff's allegations that the defendant had "committed </w:t>
      </w:r>
      <w:r w:rsidRPr="00742E12">
        <w:rPr>
          <w:rFonts w:ascii="Times New Roman" w:eastAsia="Arial" w:hAnsi="Times New Roman" w:cs="Times New Roman"/>
          <w:sz w:val="26"/>
          <w:szCs w:val="26"/>
        </w:rPr>
        <w:lastRenderedPageBreak/>
        <w:t>hundreds, even thousands, of violations of federal immigration laws" were sufficient to plead a "patt</w:t>
      </w:r>
      <w:r>
        <w:rPr>
          <w:rFonts w:ascii="Times New Roman" w:eastAsia="Arial" w:hAnsi="Times New Roman" w:cs="Times New Roman"/>
          <w:sz w:val="26"/>
          <w:szCs w:val="26"/>
        </w:rPr>
        <w:t xml:space="preserve">ern of racketeering activity." </w:t>
      </w:r>
      <w:r w:rsidRPr="00742E12">
        <w:rPr>
          <w:rFonts w:ascii="Times New Roman" w:eastAsia="Arial" w:hAnsi="Times New Roman" w:cs="Times New Roman"/>
          <w:i/>
          <w:sz w:val="26"/>
          <w:szCs w:val="26"/>
        </w:rPr>
        <w:t>Id</w:t>
      </w:r>
      <w:r w:rsidRPr="00742E12">
        <w:rPr>
          <w:rFonts w:ascii="Times New Roman" w:eastAsia="Arial" w:hAnsi="Times New Roman" w:cs="Times New Roman"/>
          <w:sz w:val="26"/>
          <w:szCs w:val="26"/>
        </w:rPr>
        <w:t>.</w:t>
      </w:r>
    </w:p>
    <w:p w:rsidR="00695E01" w:rsidRPr="00742E12" w:rsidRDefault="00695E01" w:rsidP="00CD09FC">
      <w:pPr>
        <w:spacing w:after="240" w:line="240" w:lineRule="auto"/>
        <w:ind w:firstLine="720"/>
        <w:jc w:val="both"/>
        <w:rPr>
          <w:rFonts w:ascii="Times New Roman" w:eastAsia="Arial" w:hAnsi="Times New Roman" w:cs="Times New Roman"/>
          <w:sz w:val="26"/>
          <w:szCs w:val="26"/>
        </w:rPr>
      </w:pPr>
      <w:r w:rsidRPr="00742E12">
        <w:rPr>
          <w:rFonts w:ascii="Times New Roman" w:eastAsia="Arial" w:hAnsi="Times New Roman" w:cs="Times New Roman"/>
          <w:sz w:val="26"/>
          <w:szCs w:val="26"/>
        </w:rPr>
        <w:t xml:space="preserve">The continuity and relationship elements are derived from </w:t>
      </w:r>
      <w:r w:rsidRPr="00742E12">
        <w:rPr>
          <w:rFonts w:ascii="Times New Roman" w:eastAsia="Arial" w:hAnsi="Times New Roman" w:cs="Times New Roman"/>
          <w:i/>
          <w:sz w:val="26"/>
          <w:szCs w:val="26"/>
        </w:rPr>
        <w:t>United States v. Browne</w:t>
      </w:r>
      <w:r w:rsidRPr="00742E12">
        <w:rPr>
          <w:rFonts w:ascii="Times New Roman" w:eastAsia="Arial" w:hAnsi="Times New Roman" w:cs="Times New Roman"/>
          <w:sz w:val="26"/>
          <w:szCs w:val="26"/>
        </w:rPr>
        <w:t>, 505 F.3d 1229, 1257 (</w:t>
      </w:r>
      <w:r>
        <w:rPr>
          <w:rFonts w:ascii="Times New Roman" w:eastAsia="Arial" w:hAnsi="Times New Roman" w:cs="Times New Roman"/>
          <w:sz w:val="26"/>
          <w:szCs w:val="26"/>
        </w:rPr>
        <w:t>11</w:t>
      </w:r>
      <w:r w:rsidRPr="00742E12">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742E12">
        <w:rPr>
          <w:rFonts w:ascii="Times New Roman" w:eastAsia="Arial" w:hAnsi="Times New Roman" w:cs="Times New Roman"/>
          <w:sz w:val="26"/>
          <w:szCs w:val="26"/>
        </w:rPr>
        <w:t xml:space="preserve">Cir. 2007) (noting that to establish a pattern of predicate acts, the plaintiff must prove that the predicate acts relate to each other and have continuity). In defining how </w:t>
      </w:r>
      <w:r>
        <w:rPr>
          <w:rFonts w:ascii="Times New Roman" w:eastAsia="Arial" w:hAnsi="Times New Roman" w:cs="Times New Roman"/>
          <w:sz w:val="26"/>
          <w:szCs w:val="26"/>
        </w:rPr>
        <w:t>“</w:t>
      </w:r>
      <w:r w:rsidRPr="00742E12">
        <w:rPr>
          <w:rFonts w:ascii="Times New Roman" w:eastAsia="Arial" w:hAnsi="Times New Roman" w:cs="Times New Roman"/>
          <w:sz w:val="26"/>
          <w:szCs w:val="26"/>
        </w:rPr>
        <w:t>the predicate acts must relate to each other,</w:t>
      </w:r>
      <w:r>
        <w:rPr>
          <w:rFonts w:ascii="Times New Roman" w:eastAsia="Arial" w:hAnsi="Times New Roman" w:cs="Times New Roman"/>
          <w:sz w:val="26"/>
          <w:szCs w:val="26"/>
        </w:rPr>
        <w:t>”</w:t>
      </w:r>
      <w:r w:rsidRPr="00742E12">
        <w:rPr>
          <w:rFonts w:ascii="Times New Roman" w:eastAsia="Arial" w:hAnsi="Times New Roman" w:cs="Times New Roman"/>
          <w:sz w:val="26"/>
          <w:szCs w:val="26"/>
        </w:rPr>
        <w:t xml:space="preserve"> the Eleventh Circuit has stated this </w:t>
      </w:r>
      <w:r>
        <w:rPr>
          <w:rFonts w:ascii="Times New Roman" w:eastAsia="Arial" w:hAnsi="Times New Roman" w:cs="Times New Roman"/>
          <w:sz w:val="26"/>
          <w:szCs w:val="26"/>
        </w:rPr>
        <w:t>“</w:t>
      </w:r>
      <w:r w:rsidRPr="00742E12">
        <w:rPr>
          <w:rFonts w:ascii="Times New Roman" w:eastAsia="Arial" w:hAnsi="Times New Roman" w:cs="Times New Roman"/>
          <w:sz w:val="26"/>
          <w:szCs w:val="26"/>
        </w:rPr>
        <w:t xml:space="preserve">the predicate acts must </w:t>
      </w:r>
      <w:r>
        <w:rPr>
          <w:rFonts w:ascii="Times New Roman" w:eastAsia="Arial" w:hAnsi="Times New Roman" w:cs="Times New Roman"/>
          <w:sz w:val="26"/>
          <w:szCs w:val="26"/>
        </w:rPr>
        <w:t>‘</w:t>
      </w:r>
      <w:r w:rsidRPr="00742E12">
        <w:rPr>
          <w:rFonts w:ascii="Times New Roman" w:eastAsia="Arial" w:hAnsi="Times New Roman" w:cs="Times New Roman"/>
          <w:sz w:val="26"/>
          <w:szCs w:val="26"/>
        </w:rPr>
        <w:t>have the same or similar purposes, results, participants, victims, or methods of commission, or otherwise [be] interrelated by distinguishing characteristics and</w:t>
      </w:r>
      <w:r>
        <w:rPr>
          <w:rFonts w:ascii="Times New Roman" w:eastAsia="Arial" w:hAnsi="Times New Roman" w:cs="Times New Roman"/>
          <w:sz w:val="26"/>
          <w:szCs w:val="26"/>
        </w:rPr>
        <w:t xml:space="preserve">… </w:t>
      </w:r>
      <w:r w:rsidRPr="00742E12">
        <w:rPr>
          <w:rFonts w:ascii="Times New Roman" w:eastAsia="Arial" w:hAnsi="Times New Roman" w:cs="Times New Roman"/>
          <w:sz w:val="26"/>
          <w:szCs w:val="26"/>
        </w:rPr>
        <w:t xml:space="preserve">not [be] isolated events.'") </w:t>
      </w:r>
      <w:r w:rsidRPr="00742E12">
        <w:rPr>
          <w:rFonts w:ascii="Times New Roman" w:eastAsia="Arial" w:hAnsi="Times New Roman" w:cs="Times New Roman"/>
          <w:i/>
          <w:sz w:val="26"/>
          <w:szCs w:val="26"/>
        </w:rPr>
        <w:t>Id</w:t>
      </w:r>
      <w:r w:rsidRPr="00742E12">
        <w:rPr>
          <w:rFonts w:ascii="Times New Roman" w:eastAsia="Arial" w:hAnsi="Times New Roman" w:cs="Times New Roman"/>
          <w:sz w:val="26"/>
          <w:szCs w:val="26"/>
        </w:rPr>
        <w:t>. (</w:t>
      </w:r>
      <w:r w:rsidRPr="00056528">
        <w:rPr>
          <w:rFonts w:ascii="Times New Roman" w:eastAsia="Arial" w:hAnsi="Times New Roman" w:cs="Times New Roman"/>
          <w:sz w:val="26"/>
          <w:szCs w:val="26"/>
        </w:rPr>
        <w:t>quoting</w:t>
      </w:r>
      <w:r w:rsidRPr="00875F1E">
        <w:rPr>
          <w:rFonts w:ascii="Times New Roman" w:eastAsia="Arial" w:hAnsi="Times New Roman" w:cs="Times New Roman"/>
          <w:i/>
          <w:sz w:val="26"/>
          <w:szCs w:val="26"/>
        </w:rPr>
        <w:t xml:space="preserve"> </w:t>
      </w:r>
      <w:r w:rsidRPr="00742E12">
        <w:rPr>
          <w:rFonts w:ascii="Times New Roman" w:eastAsia="Arial" w:hAnsi="Times New Roman" w:cs="Times New Roman"/>
          <w:i/>
          <w:sz w:val="26"/>
          <w:szCs w:val="26"/>
        </w:rPr>
        <w:t>Sedima, S.P.R.L. v. Imrex Co.</w:t>
      </w:r>
      <w:r w:rsidRPr="00742E12">
        <w:rPr>
          <w:rFonts w:ascii="Times New Roman" w:eastAsia="Arial" w:hAnsi="Times New Roman" w:cs="Times New Roman"/>
          <w:sz w:val="26"/>
          <w:szCs w:val="26"/>
        </w:rPr>
        <w:t xml:space="preserve">, 473 U.S. 479, 496, n.14 (1985)); </w:t>
      </w:r>
      <w:r w:rsidRPr="00742E12">
        <w:rPr>
          <w:rFonts w:ascii="Times New Roman" w:eastAsia="Arial" w:hAnsi="Times New Roman" w:cs="Times New Roman"/>
          <w:i/>
          <w:sz w:val="26"/>
          <w:szCs w:val="26"/>
        </w:rPr>
        <w:t>United States v. Starrett</w:t>
      </w:r>
      <w:r w:rsidRPr="00742E12">
        <w:rPr>
          <w:rFonts w:ascii="Times New Roman" w:eastAsia="Arial" w:hAnsi="Times New Roman" w:cs="Times New Roman"/>
          <w:sz w:val="26"/>
          <w:szCs w:val="26"/>
        </w:rPr>
        <w:t>, 55 F.3d 1525, 1543 (</w:t>
      </w:r>
      <w:r>
        <w:rPr>
          <w:rFonts w:ascii="Times New Roman" w:eastAsia="Arial" w:hAnsi="Times New Roman" w:cs="Times New Roman"/>
          <w:sz w:val="26"/>
          <w:szCs w:val="26"/>
        </w:rPr>
        <w:t>11</w:t>
      </w:r>
      <w:r w:rsidRPr="00742E12">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742E12">
        <w:rPr>
          <w:rFonts w:ascii="Times New Roman" w:eastAsia="Arial" w:hAnsi="Times New Roman" w:cs="Times New Roman"/>
          <w:sz w:val="26"/>
          <w:szCs w:val="26"/>
        </w:rPr>
        <w:t xml:space="preserve">Cir. 1995) (same). In </w:t>
      </w:r>
      <w:r w:rsidRPr="00742E12">
        <w:rPr>
          <w:rFonts w:ascii="Times New Roman" w:eastAsia="Arial" w:hAnsi="Times New Roman" w:cs="Times New Roman"/>
          <w:i/>
          <w:sz w:val="26"/>
          <w:szCs w:val="26"/>
        </w:rPr>
        <w:t>Starrett</w:t>
      </w:r>
      <w:r w:rsidRPr="00742E12">
        <w:rPr>
          <w:rFonts w:ascii="Times New Roman" w:eastAsia="Arial" w:hAnsi="Times New Roman" w:cs="Times New Roman"/>
          <w:sz w:val="26"/>
          <w:szCs w:val="26"/>
        </w:rPr>
        <w:t xml:space="preserve">, the court found that the evidence that the defendant used a communication facility in the perpetration of a felony, transported an individual across state lines for the purpose of prostitution, and intended to distribute cocaine and marijuana supported a finding that the defendant's predicate acts were related. </w:t>
      </w:r>
      <w:r w:rsidRPr="00742E12">
        <w:rPr>
          <w:rFonts w:ascii="Times New Roman" w:eastAsia="Arial" w:hAnsi="Times New Roman" w:cs="Times New Roman"/>
          <w:i/>
          <w:sz w:val="26"/>
          <w:szCs w:val="26"/>
        </w:rPr>
        <w:t>Id</w:t>
      </w:r>
      <w:r w:rsidRPr="00742E12">
        <w:rPr>
          <w:rFonts w:ascii="Times New Roman" w:eastAsia="Arial" w:hAnsi="Times New Roman" w:cs="Times New Roman"/>
          <w:sz w:val="26"/>
          <w:szCs w:val="26"/>
        </w:rPr>
        <w:t xml:space="preserve">. at 1547. Specifically, the court found that "[f]our of the [defendant's] predicate acts shared the purpose of facilitating illegal prostitution, and the other four predicate acts share the purpose of furthering narcotics distribution." </w:t>
      </w:r>
      <w:r w:rsidRPr="00056528">
        <w:rPr>
          <w:rFonts w:ascii="Times New Roman" w:eastAsia="Arial" w:hAnsi="Times New Roman" w:cs="Times New Roman"/>
          <w:sz w:val="26"/>
          <w:szCs w:val="26"/>
        </w:rPr>
        <w:t>Id</w:t>
      </w:r>
      <w:r w:rsidRPr="00742E12">
        <w:rPr>
          <w:rFonts w:ascii="Times New Roman" w:eastAsia="Arial" w:hAnsi="Times New Roman" w:cs="Times New Roman"/>
          <w:sz w:val="26"/>
          <w:szCs w:val="26"/>
        </w:rPr>
        <w:t>.</w:t>
      </w:r>
    </w:p>
    <w:p w:rsidR="00695E01" w:rsidRPr="00742E12" w:rsidRDefault="00695E01" w:rsidP="00CD09FC">
      <w:pPr>
        <w:spacing w:after="240" w:line="240" w:lineRule="auto"/>
        <w:ind w:firstLine="720"/>
        <w:jc w:val="both"/>
        <w:rPr>
          <w:rFonts w:ascii="Times New Roman" w:eastAsia="Arial" w:hAnsi="Times New Roman" w:cs="Times New Roman"/>
          <w:sz w:val="26"/>
          <w:szCs w:val="26"/>
        </w:rPr>
      </w:pPr>
      <w:r w:rsidRPr="00742E12">
        <w:rPr>
          <w:rFonts w:ascii="Times New Roman" w:eastAsia="Arial" w:hAnsi="Times New Roman" w:cs="Times New Roman"/>
          <w:i/>
          <w:sz w:val="26"/>
          <w:szCs w:val="26"/>
        </w:rPr>
        <w:t>Starrett</w:t>
      </w:r>
      <w:r w:rsidRPr="00742E12">
        <w:rPr>
          <w:rFonts w:ascii="Times New Roman" w:eastAsia="Arial" w:hAnsi="Times New Roman" w:cs="Times New Roman"/>
          <w:sz w:val="26"/>
          <w:szCs w:val="26"/>
        </w:rPr>
        <w:t xml:space="preserve"> also discussed examples of how the two required predicate acts need not be the same type of acts to be related. </w:t>
      </w:r>
      <w:r w:rsidRPr="00742E12">
        <w:rPr>
          <w:rFonts w:ascii="Times New Roman" w:eastAsia="Arial" w:hAnsi="Times New Roman" w:cs="Times New Roman"/>
          <w:i/>
          <w:sz w:val="26"/>
          <w:szCs w:val="26"/>
        </w:rPr>
        <w:t>Id</w:t>
      </w:r>
      <w:r w:rsidRPr="00742E12">
        <w:rPr>
          <w:rFonts w:ascii="Times New Roman" w:eastAsia="Arial" w:hAnsi="Times New Roman" w:cs="Times New Roman"/>
          <w:sz w:val="26"/>
          <w:szCs w:val="26"/>
        </w:rPr>
        <w:t>. (finding that the evidence that the defendant used a communication facility in the perpetration of a felony, transported an individual across state lines for the purpose of prostitution, and intended to distribute cocaine and marijuana supported a finding that the defendant's predicate acts were related).</w:t>
      </w:r>
    </w:p>
    <w:p w:rsidR="00695E01" w:rsidRPr="00742E12" w:rsidRDefault="00695E01" w:rsidP="00CD09FC">
      <w:pPr>
        <w:spacing w:after="240" w:line="240" w:lineRule="auto"/>
        <w:ind w:firstLine="720"/>
        <w:jc w:val="both"/>
        <w:rPr>
          <w:rFonts w:ascii="Times New Roman" w:eastAsia="Arial" w:hAnsi="Times New Roman" w:cs="Times New Roman"/>
          <w:sz w:val="26"/>
          <w:szCs w:val="26"/>
        </w:rPr>
      </w:pPr>
      <w:r w:rsidRPr="00742E12">
        <w:rPr>
          <w:rFonts w:ascii="Times New Roman" w:eastAsia="Arial" w:hAnsi="Times New Roman" w:cs="Times New Roman"/>
          <w:sz w:val="26"/>
          <w:szCs w:val="26"/>
        </w:rPr>
        <w:t xml:space="preserve">As for continuity, </w:t>
      </w:r>
      <w:r>
        <w:rPr>
          <w:rFonts w:ascii="Times New Roman" w:eastAsia="Arial" w:hAnsi="Times New Roman" w:cs="Times New Roman"/>
          <w:sz w:val="26"/>
          <w:szCs w:val="26"/>
        </w:rPr>
        <w:t>“</w:t>
      </w:r>
      <w:r w:rsidRPr="00742E12">
        <w:rPr>
          <w:rFonts w:ascii="Times New Roman" w:eastAsia="Arial" w:hAnsi="Times New Roman" w:cs="Times New Roman"/>
          <w:sz w:val="26"/>
          <w:szCs w:val="26"/>
        </w:rPr>
        <w:t xml:space="preserve">[p]redicate acts demonstrate continuity if they are either </w:t>
      </w:r>
      <w:r>
        <w:rPr>
          <w:rFonts w:ascii="Times New Roman" w:eastAsia="Arial" w:hAnsi="Times New Roman" w:cs="Times New Roman"/>
          <w:sz w:val="26"/>
          <w:szCs w:val="26"/>
        </w:rPr>
        <w:t>‘</w:t>
      </w:r>
      <w:r w:rsidRPr="00742E12">
        <w:rPr>
          <w:rFonts w:ascii="Times New Roman" w:eastAsia="Arial" w:hAnsi="Times New Roman" w:cs="Times New Roman"/>
          <w:sz w:val="26"/>
          <w:szCs w:val="26"/>
        </w:rPr>
        <w:t>a closed period of repeated conduct,</w:t>
      </w:r>
      <w:r>
        <w:rPr>
          <w:rFonts w:ascii="Times New Roman" w:eastAsia="Arial" w:hAnsi="Times New Roman" w:cs="Times New Roman"/>
          <w:sz w:val="26"/>
          <w:szCs w:val="26"/>
        </w:rPr>
        <w:t>’</w:t>
      </w:r>
      <w:r w:rsidRPr="00742E12">
        <w:rPr>
          <w:rFonts w:ascii="Times New Roman" w:eastAsia="Arial" w:hAnsi="Times New Roman" w:cs="Times New Roman"/>
          <w:sz w:val="26"/>
          <w:szCs w:val="26"/>
        </w:rPr>
        <w:t xml:space="preserve"> or </w:t>
      </w:r>
      <w:r>
        <w:rPr>
          <w:rFonts w:ascii="Times New Roman" w:eastAsia="Arial" w:hAnsi="Times New Roman" w:cs="Times New Roman"/>
          <w:sz w:val="26"/>
          <w:szCs w:val="26"/>
        </w:rPr>
        <w:t>‘</w:t>
      </w:r>
      <w:r w:rsidRPr="00742E12">
        <w:rPr>
          <w:rFonts w:ascii="Times New Roman" w:eastAsia="Arial" w:hAnsi="Times New Roman" w:cs="Times New Roman"/>
          <w:sz w:val="26"/>
          <w:szCs w:val="26"/>
        </w:rPr>
        <w:t>past conduct that by its nature projects into the future with a threat of repetition.</w:t>
      </w:r>
      <w:r>
        <w:rPr>
          <w:rFonts w:ascii="Times New Roman" w:eastAsia="Arial" w:hAnsi="Times New Roman" w:cs="Times New Roman"/>
          <w:sz w:val="26"/>
          <w:szCs w:val="26"/>
        </w:rPr>
        <w:t>’”</w:t>
      </w:r>
      <w:r w:rsidRPr="00742E12">
        <w:rPr>
          <w:rFonts w:ascii="Times New Roman" w:eastAsia="Arial" w:hAnsi="Times New Roman" w:cs="Times New Roman"/>
          <w:sz w:val="26"/>
          <w:szCs w:val="26"/>
        </w:rPr>
        <w:t xml:space="preserve"> </w:t>
      </w:r>
      <w:r w:rsidRPr="00742E12">
        <w:rPr>
          <w:rFonts w:ascii="Times New Roman" w:eastAsia="Arial" w:hAnsi="Times New Roman" w:cs="Times New Roman"/>
          <w:i/>
          <w:sz w:val="26"/>
          <w:szCs w:val="26"/>
        </w:rPr>
        <w:t>Id</w:t>
      </w:r>
      <w:r w:rsidRPr="00742E12">
        <w:rPr>
          <w:rFonts w:ascii="Times New Roman" w:eastAsia="Arial" w:hAnsi="Times New Roman" w:cs="Times New Roman"/>
          <w:sz w:val="26"/>
          <w:szCs w:val="26"/>
        </w:rPr>
        <w:t xml:space="preserve">. at 1543 (quoting </w:t>
      </w:r>
      <w:r w:rsidRPr="00742E12">
        <w:rPr>
          <w:rFonts w:ascii="Times New Roman" w:eastAsia="Arial" w:hAnsi="Times New Roman" w:cs="Times New Roman"/>
          <w:i/>
          <w:sz w:val="26"/>
          <w:szCs w:val="26"/>
        </w:rPr>
        <w:t>H.J., Inc. v. NW Bell Tel. Co.</w:t>
      </w:r>
      <w:r w:rsidRPr="00742E12">
        <w:rPr>
          <w:rFonts w:ascii="Times New Roman" w:eastAsia="Arial" w:hAnsi="Times New Roman" w:cs="Times New Roman"/>
          <w:sz w:val="26"/>
          <w:szCs w:val="26"/>
        </w:rPr>
        <w:t xml:space="preserve">, 492 U.S. 229 (1989)). </w:t>
      </w:r>
      <w:r w:rsidRPr="00875F1E">
        <w:rPr>
          <w:rFonts w:ascii="Times New Roman" w:eastAsia="Arial" w:hAnsi="Times New Roman" w:cs="Times New Roman"/>
          <w:i/>
          <w:sz w:val="26"/>
          <w:szCs w:val="26"/>
        </w:rPr>
        <w:t>See also,</w:t>
      </w:r>
      <w:r w:rsidRPr="00742E12">
        <w:rPr>
          <w:rFonts w:ascii="Times New Roman" w:eastAsia="Arial" w:hAnsi="Times New Roman" w:cs="Times New Roman"/>
          <w:sz w:val="26"/>
          <w:szCs w:val="26"/>
        </w:rPr>
        <w:t xml:space="preserve"> </w:t>
      </w:r>
      <w:r w:rsidRPr="00742E12">
        <w:rPr>
          <w:rFonts w:ascii="Times New Roman" w:eastAsia="Arial" w:hAnsi="Times New Roman" w:cs="Times New Roman"/>
          <w:i/>
          <w:sz w:val="26"/>
          <w:szCs w:val="26"/>
        </w:rPr>
        <w:t>Browne</w:t>
      </w:r>
      <w:r w:rsidRPr="00742E12">
        <w:rPr>
          <w:rFonts w:ascii="Times New Roman" w:eastAsia="Arial" w:hAnsi="Times New Roman" w:cs="Times New Roman"/>
          <w:sz w:val="26"/>
          <w:szCs w:val="26"/>
        </w:rPr>
        <w:t xml:space="preserve">, 505 F.3d at 1257. The continuity of predicate acts was found to be satisfactorily alleged where defendants </w:t>
      </w:r>
      <w:r>
        <w:rPr>
          <w:rFonts w:ascii="Times New Roman" w:eastAsia="Arial" w:hAnsi="Times New Roman" w:cs="Times New Roman"/>
          <w:sz w:val="26"/>
          <w:szCs w:val="26"/>
        </w:rPr>
        <w:t>“</w:t>
      </w:r>
      <w:r w:rsidRPr="00742E12">
        <w:rPr>
          <w:rFonts w:ascii="Times New Roman" w:eastAsia="Arial" w:hAnsi="Times New Roman" w:cs="Times New Roman"/>
          <w:sz w:val="26"/>
          <w:szCs w:val="26"/>
        </w:rPr>
        <w:t>had agreed to a scheme whereby [one] would supply [the other] with cocaine on an on-going basis.</w:t>
      </w:r>
      <w:r>
        <w:rPr>
          <w:rFonts w:ascii="Times New Roman" w:eastAsia="Arial" w:hAnsi="Times New Roman" w:cs="Times New Roman"/>
          <w:sz w:val="26"/>
          <w:szCs w:val="26"/>
        </w:rPr>
        <w:t>”</w:t>
      </w:r>
      <w:r w:rsidRPr="00742E12">
        <w:rPr>
          <w:rFonts w:ascii="Times New Roman" w:eastAsia="Arial" w:hAnsi="Times New Roman" w:cs="Times New Roman"/>
          <w:sz w:val="26"/>
          <w:szCs w:val="26"/>
        </w:rPr>
        <w:t xml:space="preserve"> </w:t>
      </w:r>
      <w:r w:rsidRPr="00742E12">
        <w:rPr>
          <w:rFonts w:ascii="Times New Roman" w:eastAsia="Arial" w:hAnsi="Times New Roman" w:cs="Times New Roman"/>
          <w:i/>
          <w:sz w:val="26"/>
          <w:szCs w:val="26"/>
        </w:rPr>
        <w:t>Starrett</w:t>
      </w:r>
      <w:r w:rsidRPr="00742E12">
        <w:rPr>
          <w:rFonts w:ascii="Times New Roman" w:eastAsia="Arial" w:hAnsi="Times New Roman" w:cs="Times New Roman"/>
          <w:sz w:val="26"/>
          <w:szCs w:val="26"/>
        </w:rPr>
        <w:t>, 55 F.3d at 1547.</w:t>
      </w:r>
    </w:p>
    <w:p w:rsidR="00695E01" w:rsidRPr="00742E12" w:rsidRDefault="00695E01" w:rsidP="00CD09FC">
      <w:pPr>
        <w:spacing w:after="240" w:line="240" w:lineRule="auto"/>
        <w:ind w:firstLine="720"/>
        <w:jc w:val="both"/>
        <w:rPr>
          <w:rFonts w:ascii="Times New Roman" w:eastAsia="Arial" w:hAnsi="Times New Roman" w:cs="Times New Roman"/>
          <w:sz w:val="26"/>
          <w:szCs w:val="26"/>
        </w:rPr>
      </w:pPr>
      <w:r w:rsidRPr="00742E12">
        <w:rPr>
          <w:rFonts w:ascii="Times New Roman" w:eastAsia="Arial" w:hAnsi="Times New Roman" w:cs="Times New Roman"/>
          <w:sz w:val="26"/>
          <w:szCs w:val="26"/>
        </w:rPr>
        <w:t xml:space="preserve">The second element requires a plaintiff to establish that the defendant </w:t>
      </w:r>
      <w:r>
        <w:rPr>
          <w:rFonts w:ascii="Times New Roman" w:eastAsia="Arial" w:hAnsi="Times New Roman" w:cs="Times New Roman"/>
          <w:sz w:val="26"/>
          <w:szCs w:val="26"/>
        </w:rPr>
        <w:t>“</w:t>
      </w:r>
      <w:r w:rsidRPr="00742E12">
        <w:rPr>
          <w:rFonts w:ascii="Times New Roman" w:eastAsia="Arial" w:hAnsi="Times New Roman" w:cs="Times New Roman"/>
          <w:sz w:val="26"/>
          <w:szCs w:val="26"/>
        </w:rPr>
        <w:t>participated as a principal.</w:t>
      </w:r>
      <w:r>
        <w:rPr>
          <w:rFonts w:ascii="Times New Roman" w:eastAsia="Arial" w:hAnsi="Times New Roman" w:cs="Times New Roman"/>
          <w:sz w:val="26"/>
          <w:szCs w:val="26"/>
        </w:rPr>
        <w:t>”</w:t>
      </w:r>
      <w:r w:rsidRPr="00742E12">
        <w:rPr>
          <w:rFonts w:ascii="Times New Roman" w:eastAsia="Arial" w:hAnsi="Times New Roman" w:cs="Times New Roman"/>
          <w:sz w:val="26"/>
          <w:szCs w:val="26"/>
        </w:rPr>
        <w:t xml:space="preserve"> Courts have interpreted 18 U.S.C. </w:t>
      </w:r>
      <w:r>
        <w:rPr>
          <w:rFonts w:ascii="Times New Roman" w:eastAsia="Arial" w:hAnsi="Times New Roman" w:cs="Times New Roman"/>
          <w:sz w:val="26"/>
          <w:szCs w:val="26"/>
        </w:rPr>
        <w:t xml:space="preserve">§ </w:t>
      </w:r>
      <w:r w:rsidRPr="00742E12">
        <w:rPr>
          <w:rFonts w:ascii="Times New Roman" w:eastAsia="Arial" w:hAnsi="Times New Roman" w:cs="Times New Roman"/>
          <w:sz w:val="26"/>
          <w:szCs w:val="26"/>
        </w:rPr>
        <w:t>2</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1 </w:instrText>
      </w:r>
      <w:r>
        <w:rPr>
          <w:rFonts w:ascii="Times New Roman" w:eastAsia="Arial" w:hAnsi="Times New Roman" w:cs="Times New Roman"/>
          <w:sz w:val="26"/>
          <w:szCs w:val="26"/>
        </w:rPr>
        <w:fldChar w:fldCharType="end"/>
      </w:r>
      <w:r w:rsidRPr="00742E12">
        <w:rPr>
          <w:rFonts w:ascii="Times New Roman" w:eastAsia="Arial" w:hAnsi="Times New Roman" w:cs="Times New Roman"/>
          <w:sz w:val="26"/>
          <w:szCs w:val="26"/>
        </w:rPr>
        <w:t xml:space="preserve"> and </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2 </w:instrText>
      </w:r>
      <w:r>
        <w:rPr>
          <w:rFonts w:ascii="Times New Roman" w:eastAsia="Arial" w:hAnsi="Times New Roman" w:cs="Times New Roman"/>
          <w:sz w:val="26"/>
          <w:szCs w:val="26"/>
        </w:rPr>
        <w:fldChar w:fldCharType="end"/>
      </w:r>
      <w:r w:rsidRPr="00742E12">
        <w:rPr>
          <w:rFonts w:ascii="Times New Roman" w:eastAsia="Arial" w:hAnsi="Times New Roman" w:cs="Times New Roman"/>
          <w:sz w:val="26"/>
          <w:szCs w:val="26"/>
        </w:rPr>
        <w:t xml:space="preserve"> as permitting plaintiff to satisfy this element by establishing that a defendant either: aided, abetted, counseled, commanded, induced, or procured the commission of two or more alleged predicate offenses that constitute the pattern of racketeering activity ; or willfully caused acts to be done which if directly performed by him would constitute the commission of two or more alleged predicate offenses that constitute the pattern of racketeering activity. </w:t>
      </w:r>
      <w:r w:rsidRPr="00742E12">
        <w:rPr>
          <w:rFonts w:ascii="Times New Roman" w:eastAsia="Arial" w:hAnsi="Times New Roman" w:cs="Times New Roman"/>
          <w:i/>
          <w:sz w:val="26"/>
          <w:szCs w:val="26"/>
        </w:rPr>
        <w:t>See, e.g., In re Sahlen &amp;</w:t>
      </w:r>
      <w:r>
        <w:rPr>
          <w:rFonts w:ascii="Times New Roman" w:eastAsia="Arial" w:hAnsi="Times New Roman" w:cs="Times New Roman"/>
          <w:i/>
          <w:sz w:val="26"/>
          <w:szCs w:val="26"/>
        </w:rPr>
        <w:t xml:space="preserve"> </w:t>
      </w:r>
      <w:r w:rsidRPr="00742E12">
        <w:rPr>
          <w:rFonts w:ascii="Times New Roman" w:eastAsia="Arial" w:hAnsi="Times New Roman" w:cs="Times New Roman"/>
          <w:i/>
          <w:sz w:val="26"/>
          <w:szCs w:val="26"/>
        </w:rPr>
        <w:t>Assoc., Sec. Litig.</w:t>
      </w:r>
      <w:r w:rsidRPr="00742E12">
        <w:rPr>
          <w:rFonts w:ascii="Times New Roman" w:eastAsia="Arial" w:hAnsi="Times New Roman" w:cs="Times New Roman"/>
          <w:sz w:val="26"/>
          <w:szCs w:val="26"/>
        </w:rPr>
        <w:t xml:space="preserve">, 773 F. Supp. 342, 368 (S.D. Fla. 1991) (aiding and abetting); </w:t>
      </w:r>
      <w:r w:rsidRPr="00742E12">
        <w:rPr>
          <w:rFonts w:ascii="Times New Roman" w:eastAsia="Arial" w:hAnsi="Times New Roman" w:cs="Times New Roman"/>
          <w:i/>
          <w:sz w:val="26"/>
          <w:szCs w:val="26"/>
        </w:rPr>
        <w:t>Grimsley v. First Alabama Bank</w:t>
      </w:r>
      <w:r w:rsidRPr="00056528">
        <w:rPr>
          <w:rFonts w:ascii="Times New Roman" w:eastAsia="Arial" w:hAnsi="Times New Roman" w:cs="Times New Roman"/>
          <w:i/>
          <w:sz w:val="26"/>
          <w:szCs w:val="26"/>
        </w:rPr>
        <w:t>, No. 88000113</w:t>
      </w:r>
      <w:r w:rsidRPr="00742E12">
        <w:rPr>
          <w:rFonts w:ascii="Times New Roman" w:eastAsia="Arial" w:hAnsi="Times New Roman" w:cs="Times New Roman"/>
          <w:sz w:val="26"/>
          <w:szCs w:val="26"/>
        </w:rPr>
        <w:t xml:space="preserve">, 1988 U.S. Dist. LEXIS 16042, at *3 (S.D. Ala. 1988). Also premised on 18 U.S.C. </w:t>
      </w:r>
      <w:r>
        <w:rPr>
          <w:rFonts w:ascii="Times New Roman" w:eastAsia="Arial" w:hAnsi="Times New Roman" w:cs="Times New Roman"/>
          <w:sz w:val="26"/>
          <w:szCs w:val="26"/>
        </w:rPr>
        <w:t xml:space="preserve">§ </w:t>
      </w:r>
      <w:r w:rsidRPr="00742E12">
        <w:rPr>
          <w:rFonts w:ascii="Times New Roman" w:eastAsia="Arial" w:hAnsi="Times New Roman" w:cs="Times New Roman"/>
          <w:sz w:val="26"/>
          <w:szCs w:val="26"/>
        </w:rPr>
        <w:t xml:space="preserve">2 is that a defendant must have intent or knowledge in order to act as a principal. </w:t>
      </w:r>
      <w:r w:rsidRPr="00742E12">
        <w:rPr>
          <w:rFonts w:ascii="Times New Roman" w:eastAsia="Arial" w:hAnsi="Times New Roman" w:cs="Times New Roman"/>
          <w:i/>
          <w:sz w:val="26"/>
          <w:szCs w:val="26"/>
        </w:rPr>
        <w:t>Id</w:t>
      </w:r>
      <w:r w:rsidRPr="00742E12">
        <w:rPr>
          <w:rFonts w:ascii="Times New Roman" w:eastAsia="Arial" w:hAnsi="Times New Roman" w:cs="Times New Roman"/>
          <w:sz w:val="26"/>
          <w:szCs w:val="26"/>
        </w:rPr>
        <w:t>. (</w:t>
      </w:r>
      <w:r>
        <w:rPr>
          <w:rFonts w:ascii="Times New Roman" w:eastAsia="Arial" w:hAnsi="Times New Roman" w:cs="Times New Roman"/>
          <w:sz w:val="26"/>
          <w:szCs w:val="26"/>
        </w:rPr>
        <w:t>“</w:t>
      </w:r>
      <w:r w:rsidRPr="00742E12">
        <w:rPr>
          <w:rFonts w:ascii="Times New Roman" w:eastAsia="Arial" w:hAnsi="Times New Roman" w:cs="Times New Roman"/>
          <w:sz w:val="26"/>
          <w:szCs w:val="26"/>
        </w:rPr>
        <w:t xml:space="preserve">One </w:t>
      </w:r>
      <w:r w:rsidRPr="00742E12">
        <w:rPr>
          <w:rFonts w:ascii="Times New Roman" w:eastAsia="Arial" w:hAnsi="Times New Roman" w:cs="Times New Roman"/>
          <w:sz w:val="26"/>
          <w:szCs w:val="26"/>
        </w:rPr>
        <w:lastRenderedPageBreak/>
        <w:t>cannot aid, abet, counsel, command, induce, willfully cause or perform without knowledge or intent.</w:t>
      </w:r>
      <w:r>
        <w:rPr>
          <w:rFonts w:ascii="Times New Roman" w:eastAsia="Arial" w:hAnsi="Times New Roman" w:cs="Times New Roman"/>
          <w:sz w:val="26"/>
          <w:szCs w:val="26"/>
        </w:rPr>
        <w:t>”</w:t>
      </w:r>
      <w:r w:rsidRPr="00742E12">
        <w:rPr>
          <w:rFonts w:ascii="Times New Roman" w:eastAsia="Arial" w:hAnsi="Times New Roman" w:cs="Times New Roman"/>
          <w:sz w:val="26"/>
          <w:szCs w:val="26"/>
        </w:rPr>
        <w:t>).</w:t>
      </w:r>
    </w:p>
    <w:p w:rsidR="00695E01" w:rsidRPr="00742E12" w:rsidRDefault="00695E01" w:rsidP="00CD09FC">
      <w:pPr>
        <w:spacing w:after="240" w:line="240" w:lineRule="auto"/>
        <w:ind w:firstLine="720"/>
        <w:jc w:val="both"/>
        <w:rPr>
          <w:rFonts w:ascii="Times New Roman" w:eastAsia="Arial" w:hAnsi="Times New Roman" w:cs="Times New Roman"/>
          <w:sz w:val="26"/>
          <w:szCs w:val="26"/>
        </w:rPr>
      </w:pPr>
      <w:r w:rsidRPr="00742E12">
        <w:rPr>
          <w:rFonts w:ascii="Times New Roman" w:eastAsia="Arial" w:hAnsi="Times New Roman" w:cs="Times New Roman"/>
          <w:sz w:val="26"/>
          <w:szCs w:val="26"/>
        </w:rPr>
        <w:t xml:space="preserve">An example of the third element - that </w:t>
      </w:r>
      <w:r>
        <w:rPr>
          <w:rFonts w:ascii="Times New Roman" w:eastAsia="Arial" w:hAnsi="Times New Roman" w:cs="Times New Roman"/>
          <w:sz w:val="26"/>
          <w:szCs w:val="26"/>
        </w:rPr>
        <w:t>“</w:t>
      </w:r>
      <w:r w:rsidRPr="00742E12">
        <w:rPr>
          <w:rFonts w:ascii="Times New Roman" w:eastAsia="Arial" w:hAnsi="Times New Roman" w:cs="Times New Roman"/>
          <w:sz w:val="26"/>
          <w:szCs w:val="26"/>
        </w:rPr>
        <w:t>some part of the income or proceeds of that income derived from the racketeering activity was used to acquire, maintain an interest in, or operate and enterprise</w:t>
      </w:r>
      <w:r>
        <w:rPr>
          <w:rFonts w:ascii="Times New Roman" w:eastAsia="Arial" w:hAnsi="Times New Roman" w:cs="Times New Roman"/>
          <w:sz w:val="26"/>
          <w:szCs w:val="26"/>
        </w:rPr>
        <w:t>”</w:t>
      </w:r>
      <w:r w:rsidRPr="00742E12">
        <w:rPr>
          <w:rFonts w:ascii="Times New Roman" w:eastAsia="Arial" w:hAnsi="Times New Roman" w:cs="Times New Roman"/>
          <w:sz w:val="26"/>
          <w:szCs w:val="26"/>
        </w:rPr>
        <w:t xml:space="preserve"> - was discussed in </w:t>
      </w:r>
      <w:r w:rsidRPr="00742E12">
        <w:rPr>
          <w:rFonts w:ascii="Times New Roman" w:eastAsia="Arial" w:hAnsi="Times New Roman" w:cs="Times New Roman"/>
          <w:i/>
          <w:sz w:val="26"/>
          <w:szCs w:val="26"/>
        </w:rPr>
        <w:t>In re Sahlen</w:t>
      </w:r>
      <w:r w:rsidRPr="00742E12">
        <w:rPr>
          <w:rFonts w:ascii="Times New Roman" w:eastAsia="Arial" w:hAnsi="Times New Roman" w:cs="Times New Roman"/>
          <w:sz w:val="26"/>
          <w:szCs w:val="26"/>
        </w:rPr>
        <w:t>. 773 F. Supp at 366 (finding that the plaintiffs had sufficiently alleged a violation of 1962</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1 </w:instrText>
      </w:r>
      <w:r>
        <w:rPr>
          <w:rFonts w:ascii="Times New Roman" w:eastAsia="Arial" w:hAnsi="Times New Roman" w:cs="Times New Roman"/>
          <w:sz w:val="26"/>
          <w:szCs w:val="26"/>
        </w:rPr>
        <w:fldChar w:fldCharType="end"/>
      </w:r>
      <w:r w:rsidRPr="00742E12">
        <w:rPr>
          <w:rFonts w:ascii="Times New Roman" w:eastAsia="Arial" w:hAnsi="Times New Roman" w:cs="Times New Roman"/>
          <w:sz w:val="26"/>
          <w:szCs w:val="26"/>
        </w:rPr>
        <w:t xml:space="preserve"> by alleging that the defendants had derived income as officers and directors of a company through fraudulent securities offerings and sales of stock and then invested this income back into the company to continue the scheme and guarantee the company</w:t>
      </w:r>
      <w:r>
        <w:rPr>
          <w:rFonts w:ascii="Times New Roman" w:eastAsia="Arial" w:hAnsi="Times New Roman" w:cs="Times New Roman"/>
          <w:sz w:val="26"/>
          <w:szCs w:val="26"/>
        </w:rPr>
        <w:t>’</w:t>
      </w:r>
      <w:r w:rsidRPr="00742E12">
        <w:rPr>
          <w:rFonts w:ascii="Times New Roman" w:eastAsia="Arial" w:hAnsi="Times New Roman" w:cs="Times New Roman"/>
          <w:sz w:val="26"/>
          <w:szCs w:val="26"/>
        </w:rPr>
        <w:t>s growth and increased value, to the detriment of the investing public).</w:t>
      </w:r>
    </w:p>
    <w:p w:rsidR="00695E01" w:rsidRPr="00742E12" w:rsidRDefault="00695E01" w:rsidP="00CD09FC">
      <w:pPr>
        <w:spacing w:after="240" w:line="240" w:lineRule="auto"/>
        <w:ind w:firstLine="720"/>
        <w:jc w:val="both"/>
        <w:rPr>
          <w:rFonts w:ascii="Times New Roman" w:eastAsia="Arial" w:hAnsi="Times New Roman" w:cs="Times New Roman"/>
          <w:sz w:val="26"/>
          <w:szCs w:val="26"/>
        </w:rPr>
      </w:pPr>
      <w:r w:rsidRPr="00742E12">
        <w:rPr>
          <w:rFonts w:ascii="Times New Roman" w:eastAsia="Arial" w:hAnsi="Times New Roman" w:cs="Times New Roman"/>
          <w:sz w:val="26"/>
          <w:szCs w:val="26"/>
        </w:rPr>
        <w:t>18 U.S.C. 1961</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4 </w:instrText>
      </w:r>
      <w:r>
        <w:rPr>
          <w:rFonts w:ascii="Times New Roman" w:eastAsia="Arial" w:hAnsi="Times New Roman" w:cs="Times New Roman"/>
          <w:sz w:val="26"/>
          <w:szCs w:val="26"/>
        </w:rPr>
        <w:fldChar w:fldCharType="end"/>
      </w:r>
      <w:r w:rsidRPr="00742E12">
        <w:rPr>
          <w:rFonts w:ascii="Times New Roman" w:eastAsia="Arial" w:hAnsi="Times New Roman" w:cs="Times New Roman"/>
          <w:sz w:val="26"/>
          <w:szCs w:val="26"/>
        </w:rPr>
        <w:t xml:space="preserve"> provides the definition of enterprise as </w:t>
      </w:r>
      <w:r>
        <w:rPr>
          <w:rFonts w:ascii="Times New Roman" w:eastAsia="Arial" w:hAnsi="Times New Roman" w:cs="Times New Roman"/>
          <w:sz w:val="26"/>
          <w:szCs w:val="26"/>
        </w:rPr>
        <w:t>“</w:t>
      </w:r>
      <w:r w:rsidRPr="00742E12">
        <w:rPr>
          <w:rFonts w:ascii="Times New Roman" w:eastAsia="Arial" w:hAnsi="Times New Roman" w:cs="Times New Roman"/>
          <w:sz w:val="26"/>
          <w:szCs w:val="26"/>
        </w:rPr>
        <w:t>any individual, partnership, corporation, association, or other legal entity, and any union or group of individuals associated in fact although not a legal entity.</w:t>
      </w:r>
      <w:r>
        <w:rPr>
          <w:rFonts w:ascii="Times New Roman" w:eastAsia="Arial" w:hAnsi="Times New Roman" w:cs="Times New Roman"/>
          <w:sz w:val="26"/>
          <w:szCs w:val="26"/>
        </w:rPr>
        <w:t>”</w:t>
      </w:r>
      <w:r w:rsidRPr="00742E12">
        <w:rPr>
          <w:rFonts w:ascii="Times New Roman" w:eastAsia="Arial" w:hAnsi="Times New Roman" w:cs="Times New Roman"/>
          <w:sz w:val="26"/>
          <w:szCs w:val="26"/>
        </w:rPr>
        <w:t xml:space="preserve"> For discussion regarding the definitions of individual or entity enterprise or association-in-fact enterprise, </w:t>
      </w:r>
      <w:r w:rsidRPr="00056528">
        <w:rPr>
          <w:rFonts w:ascii="Times New Roman" w:eastAsia="Arial" w:hAnsi="Times New Roman" w:cs="Times New Roman"/>
          <w:i/>
          <w:sz w:val="26"/>
          <w:szCs w:val="26"/>
        </w:rPr>
        <w:t xml:space="preserve">see </w:t>
      </w:r>
      <w:r w:rsidRPr="00037D0F">
        <w:rPr>
          <w:rFonts w:ascii="Times New Roman" w:eastAsia="Arial" w:hAnsi="Times New Roman" w:cs="Times New Roman"/>
          <w:i/>
          <w:sz w:val="26"/>
          <w:szCs w:val="26"/>
        </w:rPr>
        <w:t>Starrett</w:t>
      </w:r>
      <w:r w:rsidRPr="00742E12">
        <w:rPr>
          <w:rFonts w:ascii="Times New Roman" w:eastAsia="Arial" w:hAnsi="Times New Roman" w:cs="Times New Roman"/>
          <w:sz w:val="26"/>
          <w:szCs w:val="26"/>
        </w:rPr>
        <w:t xml:space="preserve">, 55 F.3d at 1541 (the South Florida Chapter of the Outlaw Motorcycle Club constituted an enterprise under 18 U.S.C. </w:t>
      </w:r>
      <w:r>
        <w:rPr>
          <w:rFonts w:ascii="Times New Roman" w:eastAsia="Arial" w:hAnsi="Times New Roman" w:cs="Times New Roman"/>
          <w:sz w:val="26"/>
          <w:szCs w:val="26"/>
        </w:rPr>
        <w:t xml:space="preserve">§ </w:t>
      </w:r>
      <w:r w:rsidRPr="00742E12">
        <w:rPr>
          <w:rFonts w:ascii="Times New Roman" w:eastAsia="Arial" w:hAnsi="Times New Roman" w:cs="Times New Roman"/>
          <w:sz w:val="26"/>
          <w:szCs w:val="26"/>
        </w:rPr>
        <w:t>1961</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4 </w:instrText>
      </w:r>
      <w:r>
        <w:rPr>
          <w:rFonts w:ascii="Times New Roman" w:eastAsia="Arial" w:hAnsi="Times New Roman" w:cs="Times New Roman"/>
          <w:sz w:val="26"/>
          <w:szCs w:val="26"/>
        </w:rPr>
        <w:fldChar w:fldCharType="end"/>
      </w:r>
      <w:r w:rsidRPr="00742E12">
        <w:rPr>
          <w:rFonts w:ascii="Times New Roman" w:eastAsia="Arial" w:hAnsi="Times New Roman" w:cs="Times New Roman"/>
          <w:sz w:val="26"/>
          <w:szCs w:val="26"/>
        </w:rPr>
        <w:t xml:space="preserve">); </w:t>
      </w:r>
      <w:r w:rsidRPr="00037D0F">
        <w:rPr>
          <w:rFonts w:ascii="Times New Roman" w:eastAsia="Arial" w:hAnsi="Times New Roman" w:cs="Times New Roman"/>
          <w:i/>
          <w:sz w:val="26"/>
          <w:szCs w:val="26"/>
        </w:rPr>
        <w:t>Williams</w:t>
      </w:r>
      <w:r w:rsidRPr="00742E12">
        <w:rPr>
          <w:rFonts w:ascii="Times New Roman" w:eastAsia="Arial" w:hAnsi="Times New Roman" w:cs="Times New Roman"/>
          <w:sz w:val="26"/>
          <w:szCs w:val="26"/>
        </w:rPr>
        <w:t>, 465 F.3d at 1284 (</w:t>
      </w:r>
      <w:r>
        <w:rPr>
          <w:rFonts w:ascii="Times New Roman" w:eastAsia="Arial" w:hAnsi="Times New Roman" w:cs="Times New Roman"/>
          <w:sz w:val="26"/>
          <w:szCs w:val="26"/>
        </w:rPr>
        <w:t>“</w:t>
      </w:r>
      <w:r w:rsidRPr="00742E12">
        <w:rPr>
          <w:rFonts w:ascii="Times New Roman" w:eastAsia="Arial" w:hAnsi="Times New Roman" w:cs="Times New Roman"/>
          <w:sz w:val="26"/>
          <w:szCs w:val="26"/>
        </w:rPr>
        <w:t>[T]he definitive factor in determining the existence of a RICO enterprise is the existence of an association of individual entities, however loose or informal, that furnishes a vehicle for the commission of two or more predicate crimes, that is, the pattern of racketeering activity.</w:t>
      </w:r>
      <w:r>
        <w:rPr>
          <w:rFonts w:ascii="Times New Roman" w:eastAsia="Arial" w:hAnsi="Times New Roman" w:cs="Times New Roman"/>
          <w:sz w:val="26"/>
          <w:szCs w:val="26"/>
        </w:rPr>
        <w:t>”</w:t>
      </w:r>
      <w:r w:rsidRPr="00742E12">
        <w:rPr>
          <w:rFonts w:ascii="Times New Roman" w:eastAsia="Arial" w:hAnsi="Times New Roman" w:cs="Times New Roman"/>
          <w:sz w:val="26"/>
          <w:szCs w:val="26"/>
        </w:rPr>
        <w:t>) (</w:t>
      </w:r>
      <w:r w:rsidRPr="00056528">
        <w:rPr>
          <w:rFonts w:ascii="Times New Roman" w:eastAsia="Arial" w:hAnsi="Times New Roman" w:cs="Times New Roman"/>
          <w:sz w:val="26"/>
          <w:szCs w:val="26"/>
        </w:rPr>
        <w:t>quoting</w:t>
      </w:r>
      <w:r w:rsidRPr="00875F1E">
        <w:rPr>
          <w:rFonts w:ascii="Times New Roman" w:eastAsia="Arial" w:hAnsi="Times New Roman" w:cs="Times New Roman"/>
          <w:i/>
          <w:sz w:val="26"/>
          <w:szCs w:val="26"/>
        </w:rPr>
        <w:t xml:space="preserve"> </w:t>
      </w:r>
      <w:r w:rsidRPr="00037D0F">
        <w:rPr>
          <w:rFonts w:ascii="Times New Roman" w:eastAsia="Arial" w:hAnsi="Times New Roman" w:cs="Times New Roman"/>
          <w:i/>
          <w:sz w:val="26"/>
          <w:szCs w:val="26"/>
        </w:rPr>
        <w:t>United States v. Goldin Industries, Inc.</w:t>
      </w:r>
      <w:r w:rsidRPr="00742E12">
        <w:rPr>
          <w:rFonts w:ascii="Times New Roman" w:eastAsia="Arial" w:hAnsi="Times New Roman" w:cs="Times New Roman"/>
          <w:sz w:val="26"/>
          <w:szCs w:val="26"/>
        </w:rPr>
        <w:t>, 219 F.3d 1271, 1275 (</w:t>
      </w:r>
      <w:r>
        <w:rPr>
          <w:rFonts w:ascii="Times New Roman" w:eastAsia="Arial" w:hAnsi="Times New Roman" w:cs="Times New Roman"/>
          <w:sz w:val="26"/>
          <w:szCs w:val="26"/>
        </w:rPr>
        <w:t>11</w:t>
      </w:r>
      <w:r w:rsidRPr="00037D0F">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742E12">
        <w:rPr>
          <w:rFonts w:ascii="Times New Roman" w:eastAsia="Arial" w:hAnsi="Times New Roman" w:cs="Times New Roman"/>
          <w:sz w:val="26"/>
          <w:szCs w:val="26"/>
        </w:rPr>
        <w:t xml:space="preserve">Cir. 2000)). In </w:t>
      </w:r>
      <w:r w:rsidRPr="00037D0F">
        <w:rPr>
          <w:rFonts w:ascii="Times New Roman" w:eastAsia="Arial" w:hAnsi="Times New Roman" w:cs="Times New Roman"/>
          <w:i/>
          <w:sz w:val="26"/>
          <w:szCs w:val="26"/>
        </w:rPr>
        <w:t>Williams</w:t>
      </w:r>
      <w:r w:rsidRPr="00742E12">
        <w:rPr>
          <w:rFonts w:ascii="Times New Roman" w:eastAsia="Arial" w:hAnsi="Times New Roman" w:cs="Times New Roman"/>
          <w:sz w:val="26"/>
          <w:szCs w:val="26"/>
        </w:rPr>
        <w:t>, the Court found that the plaintiff</w:t>
      </w:r>
      <w:r>
        <w:rPr>
          <w:rFonts w:ascii="Times New Roman" w:eastAsia="Arial" w:hAnsi="Times New Roman" w:cs="Times New Roman"/>
          <w:sz w:val="26"/>
          <w:szCs w:val="26"/>
        </w:rPr>
        <w:t>’</w:t>
      </w:r>
      <w:r w:rsidRPr="00742E12">
        <w:rPr>
          <w:rFonts w:ascii="Times New Roman" w:eastAsia="Arial" w:hAnsi="Times New Roman" w:cs="Times New Roman"/>
          <w:sz w:val="26"/>
          <w:szCs w:val="26"/>
        </w:rPr>
        <w:t>s allegations that the defendant corporation worked with third-party temp agencies/recruiters to bring illegal workers into this country for the defendant</w:t>
      </w:r>
      <w:r>
        <w:rPr>
          <w:rFonts w:ascii="Times New Roman" w:eastAsia="Arial" w:hAnsi="Times New Roman" w:cs="Times New Roman"/>
          <w:sz w:val="26"/>
          <w:szCs w:val="26"/>
        </w:rPr>
        <w:t>’</w:t>
      </w:r>
      <w:r w:rsidRPr="00742E12">
        <w:rPr>
          <w:rFonts w:ascii="Times New Roman" w:eastAsia="Arial" w:hAnsi="Times New Roman" w:cs="Times New Roman"/>
          <w:sz w:val="26"/>
          <w:szCs w:val="26"/>
        </w:rPr>
        <w:t xml:space="preserve">s benefit were sufficient to allege an </w:t>
      </w:r>
      <w:r>
        <w:rPr>
          <w:rFonts w:ascii="Times New Roman" w:eastAsia="Arial" w:hAnsi="Times New Roman" w:cs="Times New Roman"/>
          <w:sz w:val="26"/>
          <w:szCs w:val="26"/>
        </w:rPr>
        <w:t>“</w:t>
      </w:r>
      <w:r w:rsidRPr="00742E12">
        <w:rPr>
          <w:rFonts w:ascii="Times New Roman" w:eastAsia="Arial" w:hAnsi="Times New Roman" w:cs="Times New Roman"/>
          <w:sz w:val="26"/>
          <w:szCs w:val="26"/>
        </w:rPr>
        <w:t>enterprise</w:t>
      </w:r>
      <w:r>
        <w:rPr>
          <w:rFonts w:ascii="Times New Roman" w:eastAsia="Arial" w:hAnsi="Times New Roman" w:cs="Times New Roman"/>
          <w:sz w:val="26"/>
          <w:szCs w:val="26"/>
        </w:rPr>
        <w:t>”</w:t>
      </w:r>
      <w:r w:rsidRPr="00742E12">
        <w:rPr>
          <w:rFonts w:ascii="Times New Roman" w:eastAsia="Arial" w:hAnsi="Times New Roman" w:cs="Times New Roman"/>
          <w:sz w:val="26"/>
          <w:szCs w:val="26"/>
        </w:rPr>
        <w:t xml:space="preserve"> under this section.</w:t>
      </w:r>
    </w:p>
    <w:p w:rsidR="00695E01" w:rsidRPr="00742E12" w:rsidRDefault="00695E01" w:rsidP="00CD09FC">
      <w:pPr>
        <w:spacing w:after="240" w:line="240" w:lineRule="auto"/>
        <w:ind w:firstLine="720"/>
        <w:jc w:val="both"/>
        <w:rPr>
          <w:rFonts w:ascii="Times New Roman" w:eastAsia="Arial" w:hAnsi="Times New Roman" w:cs="Times New Roman"/>
          <w:sz w:val="26"/>
          <w:szCs w:val="26"/>
        </w:rPr>
      </w:pPr>
      <w:r w:rsidRPr="00742E12">
        <w:rPr>
          <w:rFonts w:ascii="Times New Roman" w:eastAsia="Arial" w:hAnsi="Times New Roman" w:cs="Times New Roman"/>
          <w:sz w:val="26"/>
          <w:szCs w:val="26"/>
        </w:rPr>
        <w:t xml:space="preserve">In </w:t>
      </w:r>
      <w:r w:rsidRPr="005D1FDD">
        <w:rPr>
          <w:rFonts w:ascii="Times New Roman" w:eastAsia="Arial" w:hAnsi="Times New Roman" w:cs="Times New Roman"/>
          <w:i/>
          <w:sz w:val="26"/>
          <w:szCs w:val="26"/>
        </w:rPr>
        <w:t>Boyle v. United States</w:t>
      </w:r>
      <w:r w:rsidRPr="00742E12">
        <w:rPr>
          <w:rFonts w:ascii="Times New Roman" w:eastAsia="Arial" w:hAnsi="Times New Roman" w:cs="Times New Roman"/>
          <w:sz w:val="26"/>
          <w:szCs w:val="26"/>
        </w:rPr>
        <w:t xml:space="preserve">, 556 U.S. 938, 946-47, 129 S. Ct. 2237, 2244 (2009), the Supreme Court held that </w:t>
      </w:r>
      <w:r>
        <w:rPr>
          <w:rFonts w:ascii="Times New Roman" w:eastAsia="Arial" w:hAnsi="Times New Roman" w:cs="Times New Roman"/>
          <w:sz w:val="26"/>
          <w:szCs w:val="26"/>
        </w:rPr>
        <w:t>“</w:t>
      </w:r>
      <w:r w:rsidRPr="00742E12">
        <w:rPr>
          <w:rFonts w:ascii="Times New Roman" w:eastAsia="Arial" w:hAnsi="Times New Roman" w:cs="Times New Roman"/>
          <w:sz w:val="26"/>
          <w:szCs w:val="26"/>
        </w:rPr>
        <w:t>an association-in-fact enterprise must have at least three structural features: a purpose, relationships among those associated with an enterprise, and longevity sufficient to permit these associates to pursue the enterprise</w:t>
      </w:r>
      <w:r>
        <w:rPr>
          <w:rFonts w:ascii="Times New Roman" w:eastAsia="Arial" w:hAnsi="Times New Roman" w:cs="Times New Roman"/>
          <w:sz w:val="26"/>
          <w:szCs w:val="26"/>
        </w:rPr>
        <w:t>’</w:t>
      </w:r>
      <w:r w:rsidRPr="00742E12">
        <w:rPr>
          <w:rFonts w:ascii="Times New Roman" w:eastAsia="Arial" w:hAnsi="Times New Roman" w:cs="Times New Roman"/>
          <w:sz w:val="26"/>
          <w:szCs w:val="26"/>
        </w:rPr>
        <w:t>s purpose.</w:t>
      </w:r>
      <w:r>
        <w:rPr>
          <w:rFonts w:ascii="Times New Roman" w:eastAsia="Arial" w:hAnsi="Times New Roman" w:cs="Times New Roman"/>
          <w:sz w:val="26"/>
          <w:szCs w:val="26"/>
        </w:rPr>
        <w:t>”</w:t>
      </w:r>
      <w:r w:rsidRPr="00742E12">
        <w:rPr>
          <w:rFonts w:ascii="Times New Roman" w:eastAsia="Arial" w:hAnsi="Times New Roman" w:cs="Times New Roman"/>
          <w:sz w:val="26"/>
          <w:szCs w:val="26"/>
        </w:rPr>
        <w:t xml:space="preserve">). </w:t>
      </w:r>
      <w:r w:rsidRPr="005D1FDD">
        <w:rPr>
          <w:rFonts w:ascii="Times New Roman" w:eastAsia="Arial" w:hAnsi="Times New Roman" w:cs="Times New Roman"/>
          <w:i/>
          <w:sz w:val="26"/>
          <w:szCs w:val="26"/>
        </w:rPr>
        <w:t>See also Williams</w:t>
      </w:r>
      <w:r w:rsidRPr="00742E12">
        <w:rPr>
          <w:rFonts w:ascii="Times New Roman" w:eastAsia="Arial" w:hAnsi="Times New Roman" w:cs="Times New Roman"/>
          <w:sz w:val="26"/>
          <w:szCs w:val="26"/>
        </w:rPr>
        <w:t>, 465 F.3d at 1284-85 (allegations that the defendant corporation worked with third-party temp agencies/recruiters to bring illegal workers into this country for the defendant</w:t>
      </w:r>
      <w:r>
        <w:rPr>
          <w:rFonts w:ascii="Times New Roman" w:eastAsia="Arial" w:hAnsi="Times New Roman" w:cs="Times New Roman"/>
          <w:sz w:val="26"/>
          <w:szCs w:val="26"/>
        </w:rPr>
        <w:t>’</w:t>
      </w:r>
      <w:r w:rsidRPr="00742E12">
        <w:rPr>
          <w:rFonts w:ascii="Times New Roman" w:eastAsia="Arial" w:hAnsi="Times New Roman" w:cs="Times New Roman"/>
          <w:sz w:val="26"/>
          <w:szCs w:val="26"/>
        </w:rPr>
        <w:t xml:space="preserve">s benefit were sufficient to allege common purpose). In </w:t>
      </w:r>
      <w:r w:rsidRPr="005D1FDD">
        <w:rPr>
          <w:rFonts w:ascii="Times New Roman" w:eastAsia="Arial" w:hAnsi="Times New Roman" w:cs="Times New Roman"/>
          <w:i/>
          <w:sz w:val="26"/>
          <w:szCs w:val="26"/>
        </w:rPr>
        <w:t>Boyle</w:t>
      </w:r>
      <w:r w:rsidRPr="00742E12">
        <w:rPr>
          <w:rFonts w:ascii="Times New Roman" w:eastAsia="Arial" w:hAnsi="Times New Roman" w:cs="Times New Roman"/>
          <w:sz w:val="26"/>
          <w:szCs w:val="26"/>
        </w:rPr>
        <w:t>, the defendant was charged in connection with a series of bank thefts allegedly conducted by a group that was loosely organized and did not appear to have a leader or hierarchy. The Supreme Court ruled that although the three structural features set forth above were necessary for a finding of an association -in-fact enterprise, there are no additional structural features such as hierarchy or a chain of command required.</w:t>
      </w:r>
    </w:p>
    <w:p w:rsidR="00695E01" w:rsidRPr="00742E12" w:rsidRDefault="00695E01" w:rsidP="00CD09FC">
      <w:pPr>
        <w:spacing w:after="240" w:line="240" w:lineRule="auto"/>
        <w:ind w:firstLine="720"/>
        <w:jc w:val="both"/>
        <w:rPr>
          <w:rFonts w:ascii="Times New Roman" w:eastAsia="Arial" w:hAnsi="Times New Roman" w:cs="Times New Roman"/>
          <w:sz w:val="26"/>
          <w:szCs w:val="26"/>
        </w:rPr>
      </w:pPr>
      <w:r w:rsidRPr="00742E12">
        <w:rPr>
          <w:rFonts w:ascii="Times New Roman" w:eastAsia="Arial" w:hAnsi="Times New Roman" w:cs="Times New Roman"/>
          <w:sz w:val="26"/>
          <w:szCs w:val="26"/>
        </w:rPr>
        <w:t>Section 1962</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1 </w:instrText>
      </w:r>
      <w:r>
        <w:rPr>
          <w:rFonts w:ascii="Times New Roman" w:eastAsia="Arial" w:hAnsi="Times New Roman" w:cs="Times New Roman"/>
          <w:sz w:val="26"/>
          <w:szCs w:val="26"/>
        </w:rPr>
        <w:fldChar w:fldCharType="end"/>
      </w:r>
      <w:r w:rsidRPr="00742E12">
        <w:rPr>
          <w:rFonts w:ascii="Times New Roman" w:eastAsia="Arial" w:hAnsi="Times New Roman" w:cs="Times New Roman"/>
          <w:sz w:val="26"/>
          <w:szCs w:val="26"/>
        </w:rPr>
        <w:t xml:space="preserve"> also requires that an enterprise have a property interest that can be acquired by the defendant. </w:t>
      </w:r>
      <w:r w:rsidRPr="005D1FDD">
        <w:rPr>
          <w:rFonts w:ascii="Times New Roman" w:eastAsia="Arial" w:hAnsi="Times New Roman" w:cs="Times New Roman"/>
          <w:i/>
          <w:sz w:val="26"/>
          <w:szCs w:val="26"/>
        </w:rPr>
        <w:t>See Nat’l Org. for Women v. Scheidler</w:t>
      </w:r>
      <w:r w:rsidRPr="00742E12">
        <w:rPr>
          <w:rFonts w:ascii="Times New Roman" w:eastAsia="Arial" w:hAnsi="Times New Roman" w:cs="Times New Roman"/>
          <w:sz w:val="26"/>
          <w:szCs w:val="26"/>
        </w:rPr>
        <w:t>, 510 U.S. 249, 259, 114 S. Ct. 798, 804 (1994) (</w:t>
      </w:r>
      <w:r>
        <w:rPr>
          <w:rFonts w:ascii="Times New Roman" w:eastAsia="Arial" w:hAnsi="Times New Roman" w:cs="Times New Roman"/>
          <w:sz w:val="26"/>
          <w:szCs w:val="26"/>
        </w:rPr>
        <w:t>“</w:t>
      </w:r>
      <w:r w:rsidRPr="00742E12">
        <w:rPr>
          <w:rFonts w:ascii="Times New Roman" w:eastAsia="Arial" w:hAnsi="Times New Roman" w:cs="Times New Roman"/>
          <w:sz w:val="26"/>
          <w:szCs w:val="26"/>
        </w:rPr>
        <w:t xml:space="preserve">The </w:t>
      </w:r>
      <w:r>
        <w:rPr>
          <w:rFonts w:ascii="Times New Roman" w:eastAsia="Arial" w:hAnsi="Times New Roman" w:cs="Times New Roman"/>
          <w:sz w:val="26"/>
          <w:szCs w:val="26"/>
        </w:rPr>
        <w:t>‘</w:t>
      </w:r>
      <w:r w:rsidRPr="00742E12">
        <w:rPr>
          <w:rFonts w:ascii="Times New Roman" w:eastAsia="Arial" w:hAnsi="Times New Roman" w:cs="Times New Roman"/>
          <w:sz w:val="26"/>
          <w:szCs w:val="26"/>
        </w:rPr>
        <w:t>enterprise</w:t>
      </w:r>
      <w:r>
        <w:rPr>
          <w:rFonts w:ascii="Times New Roman" w:eastAsia="Arial" w:hAnsi="Times New Roman" w:cs="Times New Roman"/>
          <w:sz w:val="26"/>
          <w:szCs w:val="26"/>
        </w:rPr>
        <w:t>’</w:t>
      </w:r>
      <w:r w:rsidRPr="00742E12">
        <w:rPr>
          <w:rFonts w:ascii="Times New Roman" w:eastAsia="Arial" w:hAnsi="Times New Roman" w:cs="Times New Roman"/>
          <w:sz w:val="26"/>
          <w:szCs w:val="26"/>
        </w:rPr>
        <w:t xml:space="preserve"> referred to in subsections </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1 </w:instrText>
      </w:r>
      <w:r>
        <w:rPr>
          <w:rFonts w:ascii="Times New Roman" w:eastAsia="Arial" w:hAnsi="Times New Roman" w:cs="Times New Roman"/>
          <w:sz w:val="26"/>
          <w:szCs w:val="26"/>
        </w:rPr>
        <w:fldChar w:fldCharType="end"/>
      </w:r>
      <w:r w:rsidRPr="00742E12">
        <w:rPr>
          <w:rFonts w:ascii="Times New Roman" w:eastAsia="Arial" w:hAnsi="Times New Roman" w:cs="Times New Roman"/>
          <w:sz w:val="26"/>
          <w:szCs w:val="26"/>
        </w:rPr>
        <w:t xml:space="preserve"> and </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2 </w:instrText>
      </w:r>
      <w:r>
        <w:rPr>
          <w:rFonts w:ascii="Times New Roman" w:eastAsia="Arial" w:hAnsi="Times New Roman" w:cs="Times New Roman"/>
          <w:sz w:val="26"/>
          <w:szCs w:val="26"/>
        </w:rPr>
        <w:fldChar w:fldCharType="end"/>
      </w:r>
      <w:r w:rsidRPr="00742E12">
        <w:rPr>
          <w:rFonts w:ascii="Times New Roman" w:eastAsia="Arial" w:hAnsi="Times New Roman" w:cs="Times New Roman"/>
          <w:sz w:val="26"/>
          <w:szCs w:val="26"/>
        </w:rPr>
        <w:t xml:space="preserve"> [of </w:t>
      </w:r>
      <w:r>
        <w:rPr>
          <w:rFonts w:ascii="Times New Roman" w:eastAsia="Arial" w:hAnsi="Times New Roman" w:cs="Times New Roman"/>
          <w:sz w:val="26"/>
          <w:szCs w:val="26"/>
        </w:rPr>
        <w:t xml:space="preserve">§ </w:t>
      </w:r>
      <w:r w:rsidRPr="00742E12">
        <w:rPr>
          <w:rFonts w:ascii="Times New Roman" w:eastAsia="Arial" w:hAnsi="Times New Roman" w:cs="Times New Roman"/>
          <w:sz w:val="26"/>
          <w:szCs w:val="26"/>
        </w:rPr>
        <w:t xml:space="preserve">1962] is thus something acquired through the use of illegal activities or by money </w:t>
      </w:r>
      <w:r w:rsidRPr="00742E12">
        <w:rPr>
          <w:rFonts w:ascii="Times New Roman" w:eastAsia="Arial" w:hAnsi="Times New Roman" w:cs="Times New Roman"/>
          <w:sz w:val="26"/>
          <w:szCs w:val="26"/>
        </w:rPr>
        <w:lastRenderedPageBreak/>
        <w:t xml:space="preserve">obtained from illegal activities. The enterprise in these subsections is the victim of unlawful activity and may very well be a </w:t>
      </w:r>
      <w:r>
        <w:rPr>
          <w:rFonts w:ascii="Times New Roman" w:eastAsia="Arial" w:hAnsi="Times New Roman" w:cs="Times New Roman"/>
          <w:sz w:val="26"/>
          <w:szCs w:val="26"/>
        </w:rPr>
        <w:t>‘</w:t>
      </w:r>
      <w:r w:rsidRPr="00742E12">
        <w:rPr>
          <w:rFonts w:ascii="Times New Roman" w:eastAsia="Arial" w:hAnsi="Times New Roman" w:cs="Times New Roman"/>
          <w:sz w:val="26"/>
          <w:szCs w:val="26"/>
        </w:rPr>
        <w:t>profit-seeking</w:t>
      </w:r>
      <w:r>
        <w:rPr>
          <w:rFonts w:ascii="Times New Roman" w:eastAsia="Arial" w:hAnsi="Times New Roman" w:cs="Times New Roman"/>
          <w:sz w:val="26"/>
          <w:szCs w:val="26"/>
        </w:rPr>
        <w:t>’</w:t>
      </w:r>
      <w:r w:rsidRPr="00742E12">
        <w:rPr>
          <w:rFonts w:ascii="Times New Roman" w:eastAsia="Arial" w:hAnsi="Times New Roman" w:cs="Times New Roman"/>
          <w:sz w:val="26"/>
          <w:szCs w:val="26"/>
        </w:rPr>
        <w:t xml:space="preserve"> entity that represents a property interest and may be acquired. But the statutory language in subsections </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1 </w:instrText>
      </w:r>
      <w:r>
        <w:rPr>
          <w:rFonts w:ascii="Times New Roman" w:eastAsia="Arial" w:hAnsi="Times New Roman" w:cs="Times New Roman"/>
          <w:sz w:val="26"/>
          <w:szCs w:val="26"/>
        </w:rPr>
        <w:fldChar w:fldCharType="end"/>
      </w:r>
      <w:r w:rsidRPr="00742E12">
        <w:rPr>
          <w:rFonts w:ascii="Times New Roman" w:eastAsia="Arial" w:hAnsi="Times New Roman" w:cs="Times New Roman"/>
          <w:sz w:val="26"/>
          <w:szCs w:val="26"/>
        </w:rPr>
        <w:t xml:space="preserve"> and </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2 </w:instrText>
      </w:r>
      <w:r>
        <w:rPr>
          <w:rFonts w:ascii="Times New Roman" w:eastAsia="Arial" w:hAnsi="Times New Roman" w:cs="Times New Roman"/>
          <w:sz w:val="26"/>
          <w:szCs w:val="26"/>
        </w:rPr>
        <w:fldChar w:fldCharType="end"/>
      </w:r>
      <w:r w:rsidRPr="00742E12">
        <w:rPr>
          <w:rFonts w:ascii="Times New Roman" w:eastAsia="Arial" w:hAnsi="Times New Roman" w:cs="Times New Roman"/>
          <w:sz w:val="26"/>
          <w:szCs w:val="26"/>
        </w:rPr>
        <w:t xml:space="preserve"> does not mandate that the enterprise be a </w:t>
      </w:r>
      <w:r>
        <w:rPr>
          <w:rFonts w:ascii="Times New Roman" w:eastAsia="Arial" w:hAnsi="Times New Roman" w:cs="Times New Roman"/>
          <w:sz w:val="26"/>
          <w:szCs w:val="26"/>
        </w:rPr>
        <w:t>‘</w:t>
      </w:r>
      <w:r w:rsidRPr="00742E12">
        <w:rPr>
          <w:rFonts w:ascii="Times New Roman" w:eastAsia="Arial" w:hAnsi="Times New Roman" w:cs="Times New Roman"/>
          <w:sz w:val="26"/>
          <w:szCs w:val="26"/>
        </w:rPr>
        <w:t>profit-seeking</w:t>
      </w:r>
      <w:r>
        <w:rPr>
          <w:rFonts w:ascii="Times New Roman" w:eastAsia="Arial" w:hAnsi="Times New Roman" w:cs="Times New Roman"/>
          <w:sz w:val="26"/>
          <w:szCs w:val="26"/>
        </w:rPr>
        <w:t>’</w:t>
      </w:r>
      <w:r w:rsidRPr="00742E12">
        <w:rPr>
          <w:rFonts w:ascii="Times New Roman" w:eastAsia="Arial" w:hAnsi="Times New Roman" w:cs="Times New Roman"/>
          <w:sz w:val="26"/>
          <w:szCs w:val="26"/>
        </w:rPr>
        <w:t xml:space="preserve"> entity; it simply requires that the enterprise be an entity that was acquired through illegal activity or the money generated from illegal activity. By contrast, the </w:t>
      </w:r>
      <w:r>
        <w:rPr>
          <w:rFonts w:ascii="Times New Roman" w:eastAsia="Arial" w:hAnsi="Times New Roman" w:cs="Times New Roman"/>
          <w:sz w:val="26"/>
          <w:szCs w:val="26"/>
        </w:rPr>
        <w:t>‘</w:t>
      </w:r>
      <w:r w:rsidRPr="00742E12">
        <w:rPr>
          <w:rFonts w:ascii="Times New Roman" w:eastAsia="Arial" w:hAnsi="Times New Roman" w:cs="Times New Roman"/>
          <w:sz w:val="26"/>
          <w:szCs w:val="26"/>
        </w:rPr>
        <w:t>enterprise</w:t>
      </w:r>
      <w:r>
        <w:rPr>
          <w:rFonts w:ascii="Times New Roman" w:eastAsia="Arial" w:hAnsi="Times New Roman" w:cs="Times New Roman"/>
          <w:sz w:val="26"/>
          <w:szCs w:val="26"/>
        </w:rPr>
        <w:t>’</w:t>
      </w:r>
      <w:r w:rsidRPr="00742E12">
        <w:rPr>
          <w:rFonts w:ascii="Times New Roman" w:eastAsia="Arial" w:hAnsi="Times New Roman" w:cs="Times New Roman"/>
          <w:sz w:val="26"/>
          <w:szCs w:val="26"/>
        </w:rPr>
        <w:t xml:space="preserve"> in subsection </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3 </w:instrText>
      </w:r>
      <w:r>
        <w:rPr>
          <w:rFonts w:ascii="Times New Roman" w:eastAsia="Arial" w:hAnsi="Times New Roman" w:cs="Times New Roman"/>
          <w:sz w:val="26"/>
          <w:szCs w:val="26"/>
        </w:rPr>
        <w:fldChar w:fldCharType="end"/>
      </w:r>
      <w:r w:rsidRPr="00742E12">
        <w:rPr>
          <w:rFonts w:ascii="Times New Roman" w:eastAsia="Arial" w:hAnsi="Times New Roman" w:cs="Times New Roman"/>
          <w:sz w:val="26"/>
          <w:szCs w:val="26"/>
        </w:rPr>
        <w:t xml:space="preserve"> [of </w:t>
      </w:r>
      <w:r>
        <w:rPr>
          <w:rFonts w:ascii="Times New Roman" w:eastAsia="Arial" w:hAnsi="Times New Roman" w:cs="Times New Roman"/>
          <w:sz w:val="26"/>
          <w:szCs w:val="26"/>
        </w:rPr>
        <w:t>§</w:t>
      </w:r>
      <w:r w:rsidRPr="00742E12">
        <w:rPr>
          <w:rFonts w:ascii="Times New Roman" w:eastAsia="Arial" w:hAnsi="Times New Roman" w:cs="Times New Roman"/>
          <w:sz w:val="26"/>
          <w:szCs w:val="26"/>
        </w:rPr>
        <w:t xml:space="preserve"> 1962] connotes generally the vehicle through which the unlawful pattern of racketeering activity is committed, rather than the victim of that activity</w:t>
      </w:r>
      <w:r>
        <w:rPr>
          <w:rFonts w:ascii="Times New Roman" w:eastAsia="Arial" w:hAnsi="Times New Roman" w:cs="Times New Roman"/>
          <w:sz w:val="26"/>
          <w:szCs w:val="26"/>
        </w:rPr>
        <w:t xml:space="preserve">… </w:t>
      </w:r>
      <w:r w:rsidRPr="00742E12">
        <w:rPr>
          <w:rFonts w:ascii="Times New Roman" w:eastAsia="Arial" w:hAnsi="Times New Roman" w:cs="Times New Roman"/>
          <w:sz w:val="26"/>
          <w:szCs w:val="26"/>
        </w:rPr>
        <w:t xml:space="preserve">Consequently, since the enterprise in subsection </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3 </w:instrText>
      </w:r>
      <w:r>
        <w:rPr>
          <w:rFonts w:ascii="Times New Roman" w:eastAsia="Arial" w:hAnsi="Times New Roman" w:cs="Times New Roman"/>
          <w:sz w:val="26"/>
          <w:szCs w:val="26"/>
        </w:rPr>
        <w:fldChar w:fldCharType="end"/>
      </w:r>
      <w:r w:rsidRPr="00742E12">
        <w:rPr>
          <w:rFonts w:ascii="Times New Roman" w:eastAsia="Arial" w:hAnsi="Times New Roman" w:cs="Times New Roman"/>
          <w:sz w:val="26"/>
          <w:szCs w:val="26"/>
        </w:rPr>
        <w:t xml:space="preserve"> is not being acquired, it need not have a property interest that can be acquired nor an economic motive for engaging in illegal activity; it need only be an association in fact that engages in a pattern of racketeering activity. Nothing in subsections </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1 </w:instrText>
      </w:r>
      <w:r>
        <w:rPr>
          <w:rFonts w:ascii="Times New Roman" w:eastAsia="Arial" w:hAnsi="Times New Roman" w:cs="Times New Roman"/>
          <w:sz w:val="26"/>
          <w:szCs w:val="26"/>
        </w:rPr>
        <w:fldChar w:fldCharType="end"/>
      </w:r>
      <w:r w:rsidRPr="00742E12">
        <w:rPr>
          <w:rFonts w:ascii="Times New Roman" w:eastAsia="Arial" w:hAnsi="Times New Roman" w:cs="Times New Roman"/>
          <w:sz w:val="26"/>
          <w:szCs w:val="26"/>
        </w:rPr>
        <w:t xml:space="preserve"> and </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2 </w:instrText>
      </w:r>
      <w:r>
        <w:rPr>
          <w:rFonts w:ascii="Times New Roman" w:eastAsia="Arial" w:hAnsi="Times New Roman" w:cs="Times New Roman"/>
          <w:sz w:val="26"/>
          <w:szCs w:val="26"/>
        </w:rPr>
        <w:fldChar w:fldCharType="end"/>
      </w:r>
      <w:r w:rsidRPr="00742E12">
        <w:rPr>
          <w:rFonts w:ascii="Times New Roman" w:eastAsia="Arial" w:hAnsi="Times New Roman" w:cs="Times New Roman"/>
          <w:sz w:val="26"/>
          <w:szCs w:val="26"/>
        </w:rPr>
        <w:t xml:space="preserve"> directs us to a contrary conclusion.</w:t>
      </w:r>
      <w:r w:rsidR="00056528">
        <w:rPr>
          <w:rFonts w:ascii="Times New Roman" w:eastAsia="Arial" w:hAnsi="Times New Roman" w:cs="Times New Roman"/>
          <w:sz w:val="26"/>
          <w:szCs w:val="26"/>
        </w:rPr>
        <w:t>”</w:t>
      </w:r>
      <w:r w:rsidRPr="00742E12">
        <w:rPr>
          <w:rFonts w:ascii="Times New Roman" w:eastAsia="Arial" w:hAnsi="Times New Roman" w:cs="Times New Roman"/>
          <w:sz w:val="26"/>
          <w:szCs w:val="26"/>
        </w:rPr>
        <w:t xml:space="preserve">); </w:t>
      </w:r>
      <w:r w:rsidRPr="005D1FDD">
        <w:rPr>
          <w:rFonts w:ascii="Times New Roman" w:eastAsia="Arial" w:hAnsi="Times New Roman" w:cs="Times New Roman"/>
          <w:i/>
          <w:sz w:val="26"/>
          <w:szCs w:val="26"/>
        </w:rPr>
        <w:t>Lockheed Martin Corp. v. Boeing Co.</w:t>
      </w:r>
      <w:r w:rsidRPr="00742E12">
        <w:rPr>
          <w:rFonts w:ascii="Times New Roman" w:eastAsia="Arial" w:hAnsi="Times New Roman" w:cs="Times New Roman"/>
          <w:sz w:val="26"/>
          <w:szCs w:val="26"/>
        </w:rPr>
        <w:t>, 357 F. Supp. 2d 1350, 1368 (M.D. Fla. 2005) (</w:t>
      </w:r>
      <w:r>
        <w:rPr>
          <w:rFonts w:ascii="Times New Roman" w:eastAsia="Arial" w:hAnsi="Times New Roman" w:cs="Times New Roman"/>
          <w:sz w:val="26"/>
          <w:szCs w:val="26"/>
        </w:rPr>
        <w:t>“</w:t>
      </w:r>
      <w:r w:rsidRPr="00742E12">
        <w:rPr>
          <w:rFonts w:ascii="Times New Roman" w:eastAsia="Arial" w:hAnsi="Times New Roman" w:cs="Times New Roman"/>
          <w:sz w:val="26"/>
          <w:szCs w:val="26"/>
        </w:rPr>
        <w:t xml:space="preserve">Unlike a </w:t>
      </w:r>
      <w:r>
        <w:rPr>
          <w:rFonts w:ascii="Times New Roman" w:eastAsia="Arial" w:hAnsi="Times New Roman" w:cs="Times New Roman"/>
          <w:sz w:val="26"/>
          <w:szCs w:val="26"/>
        </w:rPr>
        <w:t xml:space="preserve">§ </w:t>
      </w:r>
      <w:r w:rsidRPr="00742E12">
        <w:rPr>
          <w:rFonts w:ascii="Times New Roman" w:eastAsia="Arial" w:hAnsi="Times New Roman" w:cs="Times New Roman"/>
          <w:sz w:val="26"/>
          <w:szCs w:val="26"/>
        </w:rPr>
        <w:t>1962</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3 </w:instrText>
      </w:r>
      <w:r>
        <w:rPr>
          <w:rFonts w:ascii="Times New Roman" w:eastAsia="Arial" w:hAnsi="Times New Roman" w:cs="Times New Roman"/>
          <w:sz w:val="26"/>
          <w:szCs w:val="26"/>
        </w:rPr>
        <w:fldChar w:fldCharType="end"/>
      </w:r>
      <w:r w:rsidRPr="00742E12">
        <w:rPr>
          <w:rFonts w:ascii="Times New Roman" w:eastAsia="Arial" w:hAnsi="Times New Roman" w:cs="Times New Roman"/>
          <w:sz w:val="26"/>
          <w:szCs w:val="26"/>
        </w:rPr>
        <w:t xml:space="preserve"> enterprise, which </w:t>
      </w:r>
      <w:r>
        <w:rPr>
          <w:rFonts w:ascii="Times New Roman" w:eastAsia="Arial" w:hAnsi="Times New Roman" w:cs="Times New Roman"/>
          <w:sz w:val="26"/>
          <w:szCs w:val="26"/>
        </w:rPr>
        <w:t>‘</w:t>
      </w:r>
      <w:r w:rsidRPr="00742E12">
        <w:rPr>
          <w:rFonts w:ascii="Times New Roman" w:eastAsia="Arial" w:hAnsi="Times New Roman" w:cs="Times New Roman"/>
          <w:sz w:val="26"/>
          <w:szCs w:val="26"/>
        </w:rPr>
        <w:t>generally connotes the vehicle through which the unlawful pattern of racketeering activity is committed,</w:t>
      </w:r>
      <w:r w:rsidRPr="00742E12">
        <w:rPr>
          <w:rFonts w:ascii="Times New Roman" w:eastAsia="Arial" w:hAnsi="Times New Roman" w:cs="Times New Roman"/>
          <w:sz w:val="26"/>
          <w:szCs w:val="26"/>
        </w:rPr>
        <w:sym w:font="WP TypographicSymbols" w:char="003D"/>
      </w:r>
      <w:r w:rsidRPr="00742E12">
        <w:rPr>
          <w:rFonts w:ascii="Times New Roman" w:eastAsia="Arial" w:hAnsi="Times New Roman" w:cs="Times New Roman"/>
          <w:sz w:val="26"/>
          <w:szCs w:val="26"/>
        </w:rPr>
        <w:t xml:space="preserve"> a </w:t>
      </w:r>
      <w:r w:rsidRPr="00742E12">
        <w:rPr>
          <w:rFonts w:ascii="Times New Roman" w:eastAsia="Arial" w:hAnsi="Times New Roman" w:cs="Times New Roman"/>
          <w:sz w:val="26"/>
          <w:szCs w:val="26"/>
        </w:rPr>
        <w:sym w:font="WP TypographicSymbols" w:char="0027"/>
      </w:r>
      <w:r w:rsidRPr="00742E12">
        <w:rPr>
          <w:rFonts w:ascii="Times New Roman" w:eastAsia="Arial" w:hAnsi="Times New Roman" w:cs="Times New Roman"/>
          <w:sz w:val="26"/>
          <w:szCs w:val="26"/>
        </w:rPr>
        <w:t>1962</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1 </w:instrText>
      </w:r>
      <w:r>
        <w:rPr>
          <w:rFonts w:ascii="Times New Roman" w:eastAsia="Arial" w:hAnsi="Times New Roman" w:cs="Times New Roman"/>
          <w:sz w:val="26"/>
          <w:szCs w:val="26"/>
        </w:rPr>
        <w:fldChar w:fldCharType="end"/>
      </w:r>
      <w:r w:rsidRPr="00742E12">
        <w:rPr>
          <w:rFonts w:ascii="Times New Roman" w:eastAsia="Arial" w:hAnsi="Times New Roman" w:cs="Times New Roman"/>
          <w:sz w:val="26"/>
          <w:szCs w:val="26"/>
        </w:rPr>
        <w:t xml:space="preserve"> enterprise is something acquired through the use of illegal activities or by money obtained from illegal activities. A </w:t>
      </w:r>
      <w:r w:rsidRPr="009872D1">
        <w:rPr>
          <w:rFonts w:ascii="Times New Roman" w:eastAsia="Arial" w:hAnsi="Times New Roman" w:cs="Times New Roman"/>
          <w:sz w:val="26"/>
          <w:szCs w:val="26"/>
        </w:rPr>
        <w:t>§</w:t>
      </w:r>
      <w:r w:rsidRPr="00742E12">
        <w:rPr>
          <w:rFonts w:ascii="Times New Roman" w:eastAsia="Arial" w:hAnsi="Times New Roman" w:cs="Times New Roman"/>
          <w:sz w:val="26"/>
          <w:szCs w:val="26"/>
        </w:rPr>
        <w:t xml:space="preserve"> 1962</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1 </w:instrText>
      </w:r>
      <w:r>
        <w:rPr>
          <w:rFonts w:ascii="Times New Roman" w:eastAsia="Arial" w:hAnsi="Times New Roman" w:cs="Times New Roman"/>
          <w:sz w:val="26"/>
          <w:szCs w:val="26"/>
        </w:rPr>
        <w:fldChar w:fldCharType="end"/>
      </w:r>
      <w:r w:rsidRPr="00742E12">
        <w:rPr>
          <w:rFonts w:ascii="Times New Roman" w:eastAsia="Arial" w:hAnsi="Times New Roman" w:cs="Times New Roman"/>
          <w:sz w:val="26"/>
          <w:szCs w:val="26"/>
        </w:rPr>
        <w:t xml:space="preserve"> enterprise is, in other words, the victim of unlawful activity, not the vehicle through which that activity is committed.</w:t>
      </w:r>
      <w:r w:rsidRPr="00742E12">
        <w:rPr>
          <w:rFonts w:ascii="Times New Roman" w:eastAsia="Arial" w:hAnsi="Times New Roman" w:cs="Times New Roman"/>
          <w:sz w:val="26"/>
          <w:szCs w:val="26"/>
        </w:rPr>
        <w:sym w:font="WP TypographicSymbols" w:char="0040"/>
      </w:r>
      <w:r w:rsidRPr="00742E12">
        <w:rPr>
          <w:rFonts w:ascii="Times New Roman" w:eastAsia="Arial" w:hAnsi="Times New Roman" w:cs="Times New Roman"/>
          <w:sz w:val="26"/>
          <w:szCs w:val="26"/>
        </w:rPr>
        <w:t xml:space="preserve"> (citations and quotations omitted).</w:t>
      </w:r>
    </w:p>
    <w:p w:rsidR="00725167" w:rsidRPr="006E19CC" w:rsidRDefault="00695E01" w:rsidP="00CD09FC">
      <w:pPr>
        <w:spacing w:after="240" w:line="240" w:lineRule="auto"/>
        <w:ind w:firstLine="720"/>
        <w:jc w:val="both"/>
        <w:rPr>
          <w:rFonts w:ascii="Times New Roman" w:eastAsia="Arial" w:hAnsi="Times New Roman" w:cs="Times New Roman"/>
          <w:sz w:val="26"/>
          <w:szCs w:val="26"/>
        </w:rPr>
      </w:pPr>
      <w:r w:rsidRPr="00742E12">
        <w:rPr>
          <w:rFonts w:ascii="Times New Roman" w:eastAsia="Arial" w:hAnsi="Times New Roman" w:cs="Times New Roman"/>
          <w:sz w:val="26"/>
          <w:szCs w:val="26"/>
        </w:rPr>
        <w:t xml:space="preserve">Pursuant to 18 U.S.C. </w:t>
      </w:r>
      <w:r w:rsidRPr="00742E12">
        <w:rPr>
          <w:rFonts w:ascii="Times New Roman" w:eastAsia="Arial" w:hAnsi="Times New Roman" w:cs="Times New Roman"/>
          <w:sz w:val="26"/>
          <w:szCs w:val="26"/>
        </w:rPr>
        <w:sym w:font="WP TypographicSymbols" w:char="0027"/>
      </w:r>
      <w:r w:rsidRPr="00742E12">
        <w:rPr>
          <w:rFonts w:ascii="Times New Roman" w:eastAsia="Arial" w:hAnsi="Times New Roman" w:cs="Times New Roman"/>
          <w:sz w:val="26"/>
          <w:szCs w:val="26"/>
        </w:rPr>
        <w:t xml:space="preserve"> 1964</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3 </w:instrText>
      </w:r>
      <w:r>
        <w:rPr>
          <w:rFonts w:ascii="Times New Roman" w:eastAsia="Arial" w:hAnsi="Times New Roman" w:cs="Times New Roman"/>
          <w:sz w:val="26"/>
          <w:szCs w:val="26"/>
        </w:rPr>
        <w:fldChar w:fldCharType="end"/>
      </w:r>
      <w:r w:rsidRPr="00742E12">
        <w:rPr>
          <w:rFonts w:ascii="Times New Roman" w:eastAsia="Arial" w:hAnsi="Times New Roman" w:cs="Times New Roman"/>
          <w:sz w:val="26"/>
          <w:szCs w:val="26"/>
        </w:rPr>
        <w:t xml:space="preserve">, </w:t>
      </w:r>
      <w:r w:rsidRPr="00742E12">
        <w:rPr>
          <w:rFonts w:ascii="Times New Roman" w:eastAsia="Arial" w:hAnsi="Times New Roman" w:cs="Times New Roman"/>
          <w:sz w:val="26"/>
          <w:szCs w:val="26"/>
        </w:rPr>
        <w:sym w:font="WP TypographicSymbols" w:char="0041"/>
      </w:r>
      <w:r w:rsidRPr="00742E12">
        <w:rPr>
          <w:rFonts w:ascii="Times New Roman" w:eastAsia="Arial" w:hAnsi="Times New Roman" w:cs="Times New Roman"/>
          <w:sz w:val="26"/>
          <w:szCs w:val="26"/>
        </w:rPr>
        <w:t>[a]ny person injured in his business or property by reason of a violation of section 1962 . . . may sue . . . in any appropriate United States district court</w:t>
      </w:r>
      <w:r w:rsidRPr="00742E12">
        <w:rPr>
          <w:rFonts w:ascii="Times New Roman" w:eastAsia="Arial" w:hAnsi="Times New Roman" w:cs="Times New Roman"/>
          <w:sz w:val="26"/>
          <w:szCs w:val="26"/>
        </w:rPr>
        <w:sym w:font="WP TypographicSymbols" w:char="0040"/>
      </w:r>
      <w:r w:rsidRPr="00742E12">
        <w:rPr>
          <w:rFonts w:ascii="Times New Roman" w:eastAsia="Arial" w:hAnsi="Times New Roman" w:cs="Times New Roman"/>
          <w:sz w:val="26"/>
          <w:szCs w:val="26"/>
        </w:rPr>
        <w:t xml:space="preserve"> and may recover treble damages and a reasonable attorney</w:t>
      </w:r>
      <w:r w:rsidRPr="00742E12">
        <w:rPr>
          <w:rFonts w:ascii="Times New Roman" w:eastAsia="Arial" w:hAnsi="Times New Roman" w:cs="Times New Roman"/>
          <w:sz w:val="26"/>
          <w:szCs w:val="26"/>
        </w:rPr>
        <w:sym w:font="WP TypographicSymbols" w:char="003D"/>
      </w:r>
      <w:r w:rsidRPr="00742E12">
        <w:rPr>
          <w:rFonts w:ascii="Times New Roman" w:eastAsia="Arial" w:hAnsi="Times New Roman" w:cs="Times New Roman"/>
          <w:sz w:val="26"/>
          <w:szCs w:val="26"/>
        </w:rPr>
        <w:t xml:space="preserve">s fee. However, no person may rely upon any conduct that would have been actionable as fraud in the purchase or sale of securities to establish a violation of Section 1962. This exclusion concerning securities does not apply to an action against any person that is criminally convicted in connection with a securities fraud. 18 U.S.C. </w:t>
      </w:r>
      <w:r w:rsidRPr="00742E12">
        <w:rPr>
          <w:rFonts w:ascii="Times New Roman" w:eastAsia="Arial" w:hAnsi="Times New Roman" w:cs="Times New Roman"/>
          <w:sz w:val="26"/>
          <w:szCs w:val="26"/>
        </w:rPr>
        <w:sym w:font="WP TypographicSymbols" w:char="0027"/>
      </w:r>
      <w:r w:rsidRPr="00742E12">
        <w:rPr>
          <w:rFonts w:ascii="Times New Roman" w:eastAsia="Arial" w:hAnsi="Times New Roman" w:cs="Times New Roman"/>
          <w:sz w:val="26"/>
          <w:szCs w:val="26"/>
        </w:rPr>
        <w:t xml:space="preserve"> 1964</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3 </w:instrText>
      </w:r>
      <w:r>
        <w:rPr>
          <w:rFonts w:ascii="Times New Roman" w:eastAsia="Arial" w:hAnsi="Times New Roman" w:cs="Times New Roman"/>
          <w:sz w:val="26"/>
          <w:szCs w:val="26"/>
        </w:rPr>
        <w:fldChar w:fldCharType="end"/>
      </w:r>
      <w:r w:rsidRPr="00742E12">
        <w:rPr>
          <w:rFonts w:ascii="Times New Roman" w:eastAsia="Arial" w:hAnsi="Times New Roman" w:cs="Times New Roman"/>
          <w:sz w:val="26"/>
          <w:szCs w:val="26"/>
        </w:rPr>
        <w:t xml:space="preserve">. </w:t>
      </w:r>
      <w:r w:rsidRPr="00742E12">
        <w:rPr>
          <w:rFonts w:ascii="Times New Roman" w:eastAsia="Arial" w:hAnsi="Times New Roman" w:cs="Times New Roman"/>
          <w:sz w:val="26"/>
          <w:szCs w:val="26"/>
        </w:rPr>
        <w:sym w:font="WP TypographicSymbols" w:char="0041"/>
      </w:r>
      <w:r w:rsidRPr="00742E12">
        <w:rPr>
          <w:rFonts w:ascii="Times New Roman" w:eastAsia="Arial" w:hAnsi="Times New Roman" w:cs="Times New Roman"/>
          <w:sz w:val="26"/>
          <w:szCs w:val="26"/>
        </w:rPr>
        <w:t xml:space="preserve">In contrast to the injury requirement under </w:t>
      </w:r>
      <w:r w:rsidRPr="00742E12">
        <w:rPr>
          <w:rFonts w:ascii="Times New Roman" w:eastAsia="Arial" w:hAnsi="Times New Roman" w:cs="Times New Roman"/>
          <w:sz w:val="26"/>
          <w:szCs w:val="26"/>
        </w:rPr>
        <w:sym w:font="WP TypographicSymbols" w:char="0027"/>
      </w:r>
      <w:r w:rsidRPr="00742E12">
        <w:rPr>
          <w:rFonts w:ascii="Times New Roman" w:eastAsia="Arial" w:hAnsi="Times New Roman" w:cs="Times New Roman"/>
          <w:sz w:val="26"/>
          <w:szCs w:val="26"/>
        </w:rPr>
        <w:t xml:space="preserve"> 1962</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3 </w:instrText>
      </w:r>
      <w:r>
        <w:rPr>
          <w:rFonts w:ascii="Times New Roman" w:eastAsia="Arial" w:hAnsi="Times New Roman" w:cs="Times New Roman"/>
          <w:sz w:val="26"/>
          <w:szCs w:val="26"/>
        </w:rPr>
        <w:fldChar w:fldCharType="end"/>
      </w:r>
      <w:r w:rsidRPr="00742E12">
        <w:rPr>
          <w:rFonts w:ascii="Times New Roman" w:eastAsia="Arial" w:hAnsi="Times New Roman" w:cs="Times New Roman"/>
          <w:sz w:val="26"/>
          <w:szCs w:val="26"/>
        </w:rPr>
        <w:t>, which my be satisfied by harm alleged to be the result of racketeering activity,</w:t>
      </w:r>
      <w:r w:rsidR="00056528">
        <w:rPr>
          <w:rFonts w:ascii="Times New Roman" w:eastAsia="Arial" w:hAnsi="Times New Roman" w:cs="Times New Roman"/>
          <w:sz w:val="26"/>
          <w:szCs w:val="26"/>
        </w:rPr>
        <w:t>,</w:t>
      </w:r>
      <w:r w:rsidRPr="00742E12">
        <w:rPr>
          <w:rFonts w:ascii="Times New Roman" w:eastAsia="Arial" w:hAnsi="Times New Roman" w:cs="Times New Roman"/>
          <w:sz w:val="26"/>
          <w:szCs w:val="26"/>
        </w:rPr>
        <w:t xml:space="preserve"> a majority of courts that have addressed the issue have determined that a claimant under </w:t>
      </w:r>
      <w:r w:rsidRPr="00742E12">
        <w:rPr>
          <w:rFonts w:ascii="Times New Roman" w:eastAsia="Arial" w:hAnsi="Times New Roman" w:cs="Times New Roman"/>
          <w:sz w:val="26"/>
          <w:szCs w:val="26"/>
        </w:rPr>
        <w:sym w:font="WP TypographicSymbols" w:char="0027"/>
      </w:r>
      <w:r w:rsidRPr="00742E12">
        <w:rPr>
          <w:rFonts w:ascii="Times New Roman" w:eastAsia="Arial" w:hAnsi="Times New Roman" w:cs="Times New Roman"/>
          <w:sz w:val="26"/>
          <w:szCs w:val="26"/>
        </w:rPr>
        <w:t>1962</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1 </w:instrText>
      </w:r>
      <w:r>
        <w:rPr>
          <w:rFonts w:ascii="Times New Roman" w:eastAsia="Arial" w:hAnsi="Times New Roman" w:cs="Times New Roman"/>
          <w:sz w:val="26"/>
          <w:szCs w:val="26"/>
        </w:rPr>
        <w:fldChar w:fldCharType="end"/>
      </w:r>
      <w:r w:rsidRPr="00742E12">
        <w:rPr>
          <w:rFonts w:ascii="Times New Roman" w:eastAsia="Arial" w:hAnsi="Times New Roman" w:cs="Times New Roman"/>
          <w:sz w:val="26"/>
          <w:szCs w:val="26"/>
        </w:rPr>
        <w:t xml:space="preserve"> must plead an injury which stems not </w:t>
      </w:r>
      <w:r w:rsidRPr="00742E12">
        <w:rPr>
          <w:rFonts w:ascii="Times New Roman" w:eastAsia="Arial" w:hAnsi="Times New Roman" w:cs="Times New Roman"/>
          <w:sz w:val="26"/>
          <w:szCs w:val="26"/>
        </w:rPr>
        <w:sym w:font="WP TypographicSymbols" w:char="003E"/>
      </w:r>
      <w:r w:rsidRPr="00742E12">
        <w:rPr>
          <w:rFonts w:ascii="Times New Roman" w:eastAsia="Arial" w:hAnsi="Times New Roman" w:cs="Times New Roman"/>
          <w:sz w:val="26"/>
          <w:szCs w:val="26"/>
        </w:rPr>
        <w:t>from the racketeering predicate acts themselves</w:t>
      </w:r>
      <w:r w:rsidRPr="00742E12">
        <w:rPr>
          <w:rFonts w:ascii="Times New Roman" w:eastAsia="Arial" w:hAnsi="Times New Roman" w:cs="Times New Roman"/>
          <w:sz w:val="26"/>
          <w:szCs w:val="26"/>
        </w:rPr>
        <w:sym w:font="WP TypographicSymbols" w:char="003D"/>
      </w:r>
      <w:r w:rsidRPr="00742E12">
        <w:rPr>
          <w:rFonts w:ascii="Times New Roman" w:eastAsia="Arial" w:hAnsi="Times New Roman" w:cs="Times New Roman"/>
          <w:sz w:val="26"/>
          <w:szCs w:val="26"/>
        </w:rPr>
        <w:t xml:space="preserve"> but from the </w:t>
      </w:r>
      <w:r w:rsidRPr="00742E12">
        <w:rPr>
          <w:rFonts w:ascii="Times New Roman" w:eastAsia="Arial" w:hAnsi="Times New Roman" w:cs="Times New Roman"/>
          <w:sz w:val="26"/>
          <w:szCs w:val="26"/>
        </w:rPr>
        <w:sym w:font="WP TypographicSymbols" w:char="003E"/>
      </w:r>
      <w:r w:rsidRPr="00742E12">
        <w:rPr>
          <w:rFonts w:ascii="Times New Roman" w:eastAsia="Arial" w:hAnsi="Times New Roman" w:cs="Times New Roman"/>
          <w:sz w:val="26"/>
          <w:szCs w:val="26"/>
        </w:rPr>
        <w:t>use or investment of . . . racketeering income.</w:t>
      </w:r>
      <w:r w:rsidRPr="00742E12">
        <w:rPr>
          <w:rFonts w:ascii="Times New Roman" w:eastAsia="Arial" w:hAnsi="Times New Roman" w:cs="Times New Roman"/>
          <w:sz w:val="26"/>
          <w:szCs w:val="26"/>
        </w:rPr>
        <w:sym w:font="WP TypographicSymbols" w:char="003D"/>
      </w:r>
      <w:r w:rsidRPr="00742E12">
        <w:rPr>
          <w:rFonts w:ascii="Times New Roman" w:eastAsia="Arial" w:hAnsi="Times New Roman" w:cs="Times New Roman"/>
          <w:sz w:val="26"/>
          <w:szCs w:val="26"/>
        </w:rPr>
        <w:sym w:font="WP TypographicSymbols" w:char="0040"/>
      </w:r>
      <w:r w:rsidRPr="00742E12">
        <w:rPr>
          <w:rFonts w:ascii="Times New Roman" w:eastAsia="Arial" w:hAnsi="Times New Roman" w:cs="Times New Roman"/>
          <w:sz w:val="26"/>
          <w:szCs w:val="26"/>
        </w:rPr>
        <w:t xml:space="preserve">). </w:t>
      </w:r>
      <w:r w:rsidRPr="00CE60EA">
        <w:rPr>
          <w:rFonts w:ascii="Times New Roman" w:eastAsia="Arial" w:hAnsi="Times New Roman" w:cs="Times New Roman"/>
          <w:i/>
          <w:sz w:val="26"/>
          <w:szCs w:val="26"/>
        </w:rPr>
        <w:t>Id</w:t>
      </w:r>
      <w:r w:rsidRPr="00742E12">
        <w:rPr>
          <w:rFonts w:ascii="Times New Roman" w:eastAsia="Arial" w:hAnsi="Times New Roman" w:cs="Times New Roman"/>
          <w:sz w:val="26"/>
          <w:szCs w:val="26"/>
        </w:rPr>
        <w:t>. at 1369 (</w:t>
      </w:r>
      <w:r w:rsidRPr="003E47C4">
        <w:rPr>
          <w:rFonts w:ascii="Times New Roman" w:eastAsia="Arial" w:hAnsi="Times New Roman" w:cs="Times New Roman"/>
          <w:sz w:val="26"/>
          <w:szCs w:val="26"/>
        </w:rPr>
        <w:t>quoting</w:t>
      </w:r>
      <w:r w:rsidRPr="00A334E3">
        <w:rPr>
          <w:rFonts w:ascii="Times New Roman" w:eastAsia="Arial" w:hAnsi="Times New Roman" w:cs="Times New Roman"/>
          <w:i/>
          <w:sz w:val="26"/>
          <w:szCs w:val="26"/>
        </w:rPr>
        <w:t xml:space="preserve"> Fogie v. Thorn Ams., Inc.</w:t>
      </w:r>
      <w:r w:rsidRPr="00742E12">
        <w:rPr>
          <w:rFonts w:ascii="Times New Roman" w:eastAsia="Arial" w:hAnsi="Times New Roman" w:cs="Times New Roman"/>
          <w:sz w:val="26"/>
          <w:szCs w:val="26"/>
        </w:rPr>
        <w:t xml:space="preserve">, 190 F.3d 889, 895 (8th Cir. 1999) (adopting the majority position that limits </w:t>
      </w:r>
      <w:r w:rsidRPr="00742E12">
        <w:rPr>
          <w:rFonts w:ascii="Times New Roman" w:eastAsia="Arial" w:hAnsi="Times New Roman" w:cs="Times New Roman"/>
          <w:sz w:val="26"/>
          <w:szCs w:val="26"/>
        </w:rPr>
        <w:sym w:font="WP TypographicSymbols" w:char="003E"/>
      </w:r>
      <w:r w:rsidRPr="00742E12">
        <w:rPr>
          <w:rFonts w:ascii="Times New Roman" w:eastAsia="Arial" w:hAnsi="Times New Roman" w:cs="Times New Roman"/>
          <w:sz w:val="26"/>
          <w:szCs w:val="26"/>
        </w:rPr>
        <w:t>standing only to plaintiffs who have suffered injury from the use or investment or racketeering income</w:t>
      </w:r>
      <w:r w:rsidRPr="00742E12">
        <w:rPr>
          <w:rFonts w:ascii="Times New Roman" w:eastAsia="Arial" w:hAnsi="Times New Roman" w:cs="Times New Roman"/>
          <w:sz w:val="26"/>
          <w:szCs w:val="26"/>
        </w:rPr>
        <w:sym w:font="WP TypographicSymbols" w:char="0040"/>
      </w:r>
      <w:r w:rsidRPr="00742E12">
        <w:rPr>
          <w:rFonts w:ascii="Times New Roman" w:eastAsia="Arial" w:hAnsi="Times New Roman" w:cs="Times New Roman"/>
          <w:sz w:val="26"/>
          <w:szCs w:val="26"/>
        </w:rPr>
        <w:t xml:space="preserve">)); </w:t>
      </w:r>
      <w:r w:rsidRPr="00A334E3">
        <w:rPr>
          <w:rFonts w:ascii="Times New Roman" w:eastAsia="Arial" w:hAnsi="Times New Roman" w:cs="Times New Roman"/>
          <w:i/>
          <w:sz w:val="26"/>
          <w:szCs w:val="26"/>
        </w:rPr>
        <w:t>Club Car, Inc.</w:t>
      </w:r>
      <w:r w:rsidRPr="00742E12">
        <w:rPr>
          <w:rFonts w:ascii="Times New Roman" w:eastAsia="Arial" w:hAnsi="Times New Roman" w:cs="Times New Roman"/>
          <w:sz w:val="26"/>
          <w:szCs w:val="26"/>
        </w:rPr>
        <w:t>, 276 F. Supp. 2d at 1288 (</w:t>
      </w:r>
      <w:r w:rsidRPr="00742E12">
        <w:rPr>
          <w:rFonts w:ascii="Times New Roman" w:eastAsia="Arial" w:hAnsi="Times New Roman" w:cs="Times New Roman"/>
          <w:sz w:val="26"/>
          <w:szCs w:val="26"/>
        </w:rPr>
        <w:sym w:font="WP TypographicSymbols" w:char="0041"/>
      </w:r>
      <w:r w:rsidRPr="00742E12">
        <w:rPr>
          <w:rFonts w:ascii="Times New Roman" w:eastAsia="Arial" w:hAnsi="Times New Roman" w:cs="Times New Roman"/>
          <w:sz w:val="26"/>
          <w:szCs w:val="26"/>
        </w:rPr>
        <w:t xml:space="preserve">The plain language of Federal RICO shows that injury by reason of investment of racketeering income </w:t>
      </w:r>
      <w:r w:rsidRPr="00742E12">
        <w:rPr>
          <w:rFonts w:ascii="Times New Roman" w:eastAsia="Arial" w:hAnsi="Times New Roman" w:cs="Times New Roman"/>
          <w:sz w:val="26"/>
          <w:szCs w:val="26"/>
        </w:rPr>
        <w:sym w:font="WP TypographicSymbols" w:char="0042"/>
      </w:r>
      <w:r w:rsidRPr="00742E12">
        <w:rPr>
          <w:rFonts w:ascii="Times New Roman" w:eastAsia="Arial" w:hAnsi="Times New Roman" w:cs="Times New Roman"/>
          <w:sz w:val="26"/>
          <w:szCs w:val="26"/>
        </w:rPr>
        <w:t xml:space="preserve"> investment injury</w:t>
      </w:r>
      <w:r w:rsidRPr="00742E12">
        <w:rPr>
          <w:rFonts w:ascii="Times New Roman" w:eastAsia="Arial" w:hAnsi="Times New Roman" w:cs="Times New Roman"/>
          <w:sz w:val="26"/>
          <w:szCs w:val="26"/>
        </w:rPr>
        <w:sym w:font="WP TypographicSymbols" w:char="0042"/>
      </w:r>
      <w:r w:rsidRPr="00742E12">
        <w:rPr>
          <w:rFonts w:ascii="Times New Roman" w:eastAsia="Arial" w:hAnsi="Times New Roman" w:cs="Times New Roman"/>
          <w:sz w:val="26"/>
          <w:szCs w:val="26"/>
        </w:rPr>
        <w:t xml:space="preserve"> is required.</w:t>
      </w:r>
      <w:r w:rsidRPr="00742E12">
        <w:rPr>
          <w:rFonts w:ascii="Times New Roman" w:eastAsia="Arial" w:hAnsi="Times New Roman" w:cs="Times New Roman"/>
          <w:sz w:val="26"/>
          <w:szCs w:val="26"/>
        </w:rPr>
        <w:sym w:font="WP TypographicSymbols" w:char="0040"/>
      </w:r>
      <w:r w:rsidRPr="00742E12">
        <w:rPr>
          <w:rFonts w:ascii="Times New Roman" w:eastAsia="Arial" w:hAnsi="Times New Roman" w:cs="Times New Roman"/>
          <w:sz w:val="26"/>
          <w:szCs w:val="26"/>
        </w:rPr>
        <w:t>) (</w:t>
      </w:r>
      <w:r w:rsidRPr="003E47C4">
        <w:rPr>
          <w:rFonts w:ascii="Times New Roman" w:eastAsia="Arial" w:hAnsi="Times New Roman" w:cs="Times New Roman"/>
          <w:sz w:val="26"/>
          <w:szCs w:val="26"/>
        </w:rPr>
        <w:t>quoting</w:t>
      </w:r>
      <w:r w:rsidRPr="00A334E3">
        <w:rPr>
          <w:rFonts w:ascii="Times New Roman" w:eastAsia="Arial" w:hAnsi="Times New Roman" w:cs="Times New Roman"/>
          <w:i/>
          <w:sz w:val="26"/>
          <w:szCs w:val="26"/>
        </w:rPr>
        <w:t xml:space="preserve"> Dairymen, Inc.</w:t>
      </w:r>
      <w:r w:rsidRPr="00742E12">
        <w:rPr>
          <w:rFonts w:ascii="Times New Roman" w:eastAsia="Arial" w:hAnsi="Times New Roman" w:cs="Times New Roman"/>
          <w:sz w:val="26"/>
          <w:szCs w:val="26"/>
        </w:rPr>
        <w:t xml:space="preserve">, 813 F. Supp. at 1584)). In </w:t>
      </w:r>
      <w:r w:rsidRPr="00A334E3">
        <w:rPr>
          <w:rFonts w:ascii="Times New Roman" w:eastAsia="Arial" w:hAnsi="Times New Roman" w:cs="Times New Roman"/>
          <w:i/>
          <w:sz w:val="26"/>
          <w:szCs w:val="26"/>
        </w:rPr>
        <w:t>Club Car</w:t>
      </w:r>
      <w:r w:rsidRPr="00742E12">
        <w:rPr>
          <w:rFonts w:ascii="Times New Roman" w:eastAsia="Arial" w:hAnsi="Times New Roman" w:cs="Times New Roman"/>
          <w:sz w:val="26"/>
          <w:szCs w:val="26"/>
        </w:rPr>
        <w:t>, the court dismissed the plaintiff</w:t>
      </w:r>
      <w:r w:rsidRPr="00742E12">
        <w:rPr>
          <w:rFonts w:ascii="Times New Roman" w:eastAsia="Arial" w:hAnsi="Times New Roman" w:cs="Times New Roman"/>
          <w:sz w:val="26"/>
          <w:szCs w:val="26"/>
        </w:rPr>
        <w:sym w:font="WP TypographicSymbols" w:char="003D"/>
      </w:r>
      <w:r w:rsidRPr="00742E12">
        <w:rPr>
          <w:rFonts w:ascii="Times New Roman" w:eastAsia="Arial" w:hAnsi="Times New Roman" w:cs="Times New Roman"/>
          <w:sz w:val="26"/>
          <w:szCs w:val="26"/>
        </w:rPr>
        <w:t xml:space="preserve">s </w:t>
      </w:r>
      <w:r w:rsidRPr="00742E12">
        <w:rPr>
          <w:rFonts w:ascii="Times New Roman" w:eastAsia="Arial" w:hAnsi="Times New Roman" w:cs="Times New Roman"/>
          <w:sz w:val="26"/>
          <w:szCs w:val="26"/>
        </w:rPr>
        <w:sym w:font="WP TypographicSymbols" w:char="0027"/>
      </w:r>
      <w:r w:rsidRPr="00742E12">
        <w:rPr>
          <w:rFonts w:ascii="Times New Roman" w:eastAsia="Arial" w:hAnsi="Times New Roman" w:cs="Times New Roman"/>
          <w:sz w:val="26"/>
          <w:szCs w:val="26"/>
        </w:rPr>
        <w:t xml:space="preserve"> 1962(a) claim for failure to allege </w:t>
      </w:r>
      <w:r w:rsidRPr="00742E12">
        <w:rPr>
          <w:rFonts w:ascii="Times New Roman" w:eastAsia="Arial" w:hAnsi="Times New Roman" w:cs="Times New Roman"/>
          <w:sz w:val="26"/>
          <w:szCs w:val="26"/>
        </w:rPr>
        <w:sym w:font="WP TypographicSymbols" w:char="0041"/>
      </w:r>
      <w:r w:rsidRPr="00742E12">
        <w:rPr>
          <w:rFonts w:ascii="Times New Roman" w:eastAsia="Arial" w:hAnsi="Times New Roman" w:cs="Times New Roman"/>
          <w:sz w:val="26"/>
          <w:szCs w:val="26"/>
        </w:rPr>
        <w:t>any injury resulting from the investment of racketeering income,</w:t>
      </w:r>
      <w:r w:rsidRPr="00742E12">
        <w:rPr>
          <w:rFonts w:ascii="Times New Roman" w:eastAsia="Arial" w:hAnsi="Times New Roman" w:cs="Times New Roman"/>
          <w:sz w:val="26"/>
          <w:szCs w:val="26"/>
        </w:rPr>
        <w:sym w:font="WP TypographicSymbols" w:char="0040"/>
      </w:r>
      <w:r w:rsidRPr="00742E12">
        <w:rPr>
          <w:rFonts w:ascii="Times New Roman" w:eastAsia="Arial" w:hAnsi="Times New Roman" w:cs="Times New Roman"/>
          <w:sz w:val="26"/>
          <w:szCs w:val="26"/>
        </w:rPr>
        <w:t xml:space="preserve"> as opposed to injury from the underlying predicate acts.</w:t>
      </w:r>
      <w:r w:rsidRPr="00742E12">
        <w:rPr>
          <w:rFonts w:ascii="Times New Roman" w:eastAsia="Arial" w:hAnsi="Times New Roman" w:cs="Times New Roman"/>
          <w:sz w:val="26"/>
          <w:szCs w:val="26"/>
        </w:rPr>
        <w:sym w:font="WP TypographicSymbols" w:char="0040"/>
      </w:r>
      <w:r w:rsidRPr="00742E12">
        <w:rPr>
          <w:rFonts w:ascii="Times New Roman" w:eastAsia="Arial" w:hAnsi="Times New Roman" w:cs="Times New Roman"/>
          <w:sz w:val="26"/>
          <w:szCs w:val="26"/>
        </w:rPr>
        <w:t xml:space="preserve"> 276 F. Supp. 2d at 1288. </w:t>
      </w:r>
      <w:r w:rsidRPr="00A334E3">
        <w:rPr>
          <w:rFonts w:ascii="Times New Roman" w:eastAsia="Arial" w:hAnsi="Times New Roman" w:cs="Times New Roman"/>
          <w:i/>
          <w:sz w:val="26"/>
          <w:szCs w:val="26"/>
        </w:rPr>
        <w:t>See also, Danielsen v. Burnside-Ott Aviation Training Center, Inc.</w:t>
      </w:r>
      <w:r w:rsidRPr="00742E12">
        <w:rPr>
          <w:rFonts w:ascii="Times New Roman" w:eastAsia="Arial" w:hAnsi="Times New Roman" w:cs="Times New Roman"/>
          <w:sz w:val="26"/>
          <w:szCs w:val="26"/>
        </w:rPr>
        <w:t>, 291 U.S. App. D.C. 303, 941 F.2d 1220, 1229 (D.C. Cir. 1991) (holding that injury to a plaintiff must flow from a Defendant</w:t>
      </w:r>
      <w:r w:rsidRPr="00742E12">
        <w:rPr>
          <w:rFonts w:ascii="Times New Roman" w:eastAsia="Arial" w:hAnsi="Times New Roman" w:cs="Times New Roman"/>
          <w:sz w:val="26"/>
          <w:szCs w:val="26"/>
        </w:rPr>
        <w:sym w:font="WP TypographicSymbols" w:char="003D"/>
      </w:r>
      <w:r w:rsidRPr="00742E12">
        <w:rPr>
          <w:rFonts w:ascii="Times New Roman" w:eastAsia="Arial" w:hAnsi="Times New Roman" w:cs="Times New Roman"/>
          <w:sz w:val="26"/>
          <w:szCs w:val="26"/>
        </w:rPr>
        <w:t>s use or investment of racketeering income.)</w:t>
      </w:r>
      <w:bookmarkEnd w:id="0"/>
    </w:p>
    <w:sectPr w:rsidR="00725167" w:rsidRPr="006E19C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190E" w:rsidRDefault="00AE190E" w:rsidP="00AE190E">
      <w:pPr>
        <w:spacing w:after="0" w:line="240" w:lineRule="auto"/>
      </w:pPr>
      <w:r>
        <w:separator/>
      </w:r>
    </w:p>
  </w:endnote>
  <w:endnote w:type="continuationSeparator" w:id="0">
    <w:p w:rsidR="00AE190E" w:rsidRDefault="00AE190E" w:rsidP="00AE19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WP TypographicSymbols">
    <w:altName w:val="Courier New"/>
    <w:panose1 w:val="000004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190E" w:rsidRDefault="00AE190E" w:rsidP="00AE190E">
      <w:pPr>
        <w:spacing w:after="0" w:line="240" w:lineRule="auto"/>
      </w:pPr>
      <w:r>
        <w:separator/>
      </w:r>
    </w:p>
  </w:footnote>
  <w:footnote w:type="continuationSeparator" w:id="0">
    <w:p w:rsidR="00AE190E" w:rsidRDefault="00AE190E" w:rsidP="00AE190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395"/>
    <w:rsid w:val="00014B03"/>
    <w:rsid w:val="00056528"/>
    <w:rsid w:val="000A1C0D"/>
    <w:rsid w:val="0012451E"/>
    <w:rsid w:val="001E02CA"/>
    <w:rsid w:val="001E531F"/>
    <w:rsid w:val="00240B28"/>
    <w:rsid w:val="002840A9"/>
    <w:rsid w:val="002B67EE"/>
    <w:rsid w:val="003C6FF2"/>
    <w:rsid w:val="003E47C4"/>
    <w:rsid w:val="00427B27"/>
    <w:rsid w:val="005819CC"/>
    <w:rsid w:val="00695E01"/>
    <w:rsid w:val="006E19CC"/>
    <w:rsid w:val="00703AA4"/>
    <w:rsid w:val="00725167"/>
    <w:rsid w:val="0076151A"/>
    <w:rsid w:val="007B150F"/>
    <w:rsid w:val="007B74C2"/>
    <w:rsid w:val="007D42A6"/>
    <w:rsid w:val="0081575C"/>
    <w:rsid w:val="0089546D"/>
    <w:rsid w:val="008A602D"/>
    <w:rsid w:val="008B5673"/>
    <w:rsid w:val="00927349"/>
    <w:rsid w:val="009A03FE"/>
    <w:rsid w:val="00A32720"/>
    <w:rsid w:val="00A45395"/>
    <w:rsid w:val="00AD447F"/>
    <w:rsid w:val="00AE190E"/>
    <w:rsid w:val="00BA403B"/>
    <w:rsid w:val="00BA604B"/>
    <w:rsid w:val="00C473BC"/>
    <w:rsid w:val="00CD09FC"/>
    <w:rsid w:val="00DC18AE"/>
    <w:rsid w:val="00DD3EED"/>
    <w:rsid w:val="00E14061"/>
    <w:rsid w:val="00E33549"/>
    <w:rsid w:val="00E60CBF"/>
    <w:rsid w:val="00E7659F"/>
    <w:rsid w:val="00E83270"/>
    <w:rsid w:val="00F9797A"/>
    <w:rsid w:val="00FE61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5395"/>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ListParagraph">
    <w:name w:val="List Paragraph"/>
    <w:aliases w:val="List Paragraph 1"/>
    <w:basedOn w:val="Normal"/>
    <w:uiPriority w:val="34"/>
    <w:qFormat/>
    <w:rsid w:val="00FE61D9"/>
    <w:pPr>
      <w:ind w:left="720"/>
      <w:contextualSpacing/>
    </w:pPr>
  </w:style>
  <w:style w:type="paragraph" w:styleId="Header">
    <w:name w:val="header"/>
    <w:basedOn w:val="Normal"/>
    <w:link w:val="HeaderChar"/>
    <w:uiPriority w:val="99"/>
    <w:unhideWhenUsed/>
    <w:rsid w:val="00AE190E"/>
    <w:pPr>
      <w:tabs>
        <w:tab w:val="center" w:pos="4680"/>
        <w:tab w:val="right" w:pos="9360"/>
      </w:tabs>
      <w:spacing w:after="0" w:line="240" w:lineRule="auto"/>
    </w:pPr>
  </w:style>
  <w:style w:type="character" w:customStyle="1" w:styleId="HeaderChar">
    <w:name w:val="Header Char"/>
    <w:basedOn w:val="DefaultParagraphFont"/>
    <w:link w:val="Header"/>
    <w:uiPriority w:val="99"/>
    <w:rsid w:val="00AE190E"/>
  </w:style>
  <w:style w:type="paragraph" w:styleId="Footer">
    <w:name w:val="footer"/>
    <w:basedOn w:val="Normal"/>
    <w:link w:val="FooterChar"/>
    <w:uiPriority w:val="99"/>
    <w:unhideWhenUsed/>
    <w:rsid w:val="00AE190E"/>
    <w:pPr>
      <w:tabs>
        <w:tab w:val="center" w:pos="4680"/>
        <w:tab w:val="right" w:pos="9360"/>
      </w:tabs>
      <w:spacing w:after="0" w:line="240" w:lineRule="auto"/>
    </w:pPr>
  </w:style>
  <w:style w:type="character" w:customStyle="1" w:styleId="FooterChar">
    <w:name w:val="Footer Char"/>
    <w:basedOn w:val="DefaultParagraphFont"/>
    <w:link w:val="Footer"/>
    <w:uiPriority w:val="99"/>
    <w:rsid w:val="00AE190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5395"/>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ListParagraph">
    <w:name w:val="List Paragraph"/>
    <w:aliases w:val="List Paragraph 1"/>
    <w:basedOn w:val="Normal"/>
    <w:uiPriority w:val="34"/>
    <w:qFormat/>
    <w:rsid w:val="00FE61D9"/>
    <w:pPr>
      <w:ind w:left="720"/>
      <w:contextualSpacing/>
    </w:pPr>
  </w:style>
  <w:style w:type="paragraph" w:styleId="Header">
    <w:name w:val="header"/>
    <w:basedOn w:val="Normal"/>
    <w:link w:val="HeaderChar"/>
    <w:uiPriority w:val="99"/>
    <w:unhideWhenUsed/>
    <w:rsid w:val="00AE190E"/>
    <w:pPr>
      <w:tabs>
        <w:tab w:val="center" w:pos="4680"/>
        <w:tab w:val="right" w:pos="9360"/>
      </w:tabs>
      <w:spacing w:after="0" w:line="240" w:lineRule="auto"/>
    </w:pPr>
  </w:style>
  <w:style w:type="character" w:customStyle="1" w:styleId="HeaderChar">
    <w:name w:val="Header Char"/>
    <w:basedOn w:val="DefaultParagraphFont"/>
    <w:link w:val="Header"/>
    <w:uiPriority w:val="99"/>
    <w:rsid w:val="00AE190E"/>
  </w:style>
  <w:style w:type="paragraph" w:styleId="Footer">
    <w:name w:val="footer"/>
    <w:basedOn w:val="Normal"/>
    <w:link w:val="FooterChar"/>
    <w:uiPriority w:val="99"/>
    <w:unhideWhenUsed/>
    <w:rsid w:val="00AE190E"/>
    <w:pPr>
      <w:tabs>
        <w:tab w:val="center" w:pos="4680"/>
        <w:tab w:val="right" w:pos="9360"/>
      </w:tabs>
      <w:spacing w:after="0" w:line="240" w:lineRule="auto"/>
    </w:pPr>
  </w:style>
  <w:style w:type="character" w:customStyle="1" w:styleId="FooterChar">
    <w:name w:val="Footer Char"/>
    <w:basedOn w:val="DefaultParagraphFont"/>
    <w:link w:val="Footer"/>
    <w:uiPriority w:val="99"/>
    <w:rsid w:val="00AE19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2143</Words>
  <Characters>12220</Characters>
  <Application>Microsoft Office Word</Application>
  <DocSecurity>0</DocSecurity>
  <Lines>101</Lines>
  <Paragraphs>28</Paragraphs>
  <ScaleCrop>false</ScaleCrop>
  <LinksUpToDate>false</LinksUpToDate>
  <CharactersWithSpaces>14335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2014-04-30T01:22:00Z</dcterms:created>
  <dcterms:modified xsi:type="dcterms:W3CDTF">2014-06-20T23:14:00Z</dcterms:modified>
</cp:coreProperties>
</file>