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FE" w:rsidRDefault="00854FFE" w:rsidP="006A5E2B">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854FFE" w:rsidRDefault="00854FFE" w:rsidP="006A5E2B">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The Eleventh Circuit held in </w:t>
      </w:r>
      <w:r w:rsidRPr="00742E12">
        <w:rPr>
          <w:rFonts w:ascii="Times New Roman" w:eastAsia="Arial" w:hAnsi="Times New Roman" w:cs="Times New Roman"/>
          <w:i/>
          <w:sz w:val="26"/>
          <w:szCs w:val="26"/>
        </w:rPr>
        <w:t>United States v. Pepe</w:t>
      </w:r>
      <w:r w:rsidRPr="00742E12">
        <w:rPr>
          <w:rFonts w:ascii="Times New Roman" w:eastAsia="Arial" w:hAnsi="Times New Roman" w:cs="Times New Roman"/>
          <w:sz w:val="26"/>
          <w:szCs w:val="26"/>
        </w:rPr>
        <w:t>, 747 F.2d 632, 675-76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1984) that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a plain reading of the statute indicates that RICO does not contain any separate </w:t>
      </w:r>
      <w:r w:rsidRPr="006B7C08">
        <w:rPr>
          <w:rFonts w:ascii="Times New Roman" w:eastAsia="Arial" w:hAnsi="Times New Roman" w:cs="Times New Roman"/>
          <w:i/>
          <w:sz w:val="26"/>
          <w:szCs w:val="26"/>
        </w:rPr>
        <w:t>mens rea</w:t>
      </w:r>
      <w:r w:rsidRPr="00742E12">
        <w:rPr>
          <w:rFonts w:ascii="Times New Roman" w:eastAsia="Arial" w:hAnsi="Times New Roman" w:cs="Times New Roman"/>
          <w:sz w:val="26"/>
          <w:szCs w:val="26"/>
        </w:rPr>
        <w:t xml:space="preserve"> or scienter elements beyond those encompassed in its predicate acts.</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As a result, in a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1962(a) case, the only relevant mental state is that necessary to commit the predicate acts. </w:t>
      </w:r>
      <w:r w:rsidRPr="00742E12">
        <w:rPr>
          <w:rFonts w:ascii="Times New Roman" w:eastAsia="Arial" w:hAnsi="Times New Roman" w:cs="Times New Roman"/>
          <w:i/>
          <w:sz w:val="26"/>
          <w:szCs w:val="26"/>
        </w:rPr>
        <w:t>See, e.g., Edwards v. Prime, Inc.</w:t>
      </w:r>
      <w:r w:rsidRPr="00742E12">
        <w:rPr>
          <w:rFonts w:ascii="Times New Roman" w:eastAsia="Arial" w:hAnsi="Times New Roman" w:cs="Times New Roman"/>
          <w:sz w:val="26"/>
          <w:szCs w:val="26"/>
        </w:rPr>
        <w:t>, 602 F.3d 1276, 1292-97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2010) (analyzing different knowledge and intent requirements of specific categories of predicate offenses). This is in contrast to a RICO conspiracy, which requires the additional element of agreement. </w:t>
      </w:r>
      <w:r w:rsidRPr="00742E12">
        <w:rPr>
          <w:rFonts w:ascii="Times New Roman" w:eastAsia="Arial" w:hAnsi="Times New Roman" w:cs="Times New Roman"/>
          <w:i/>
          <w:sz w:val="26"/>
          <w:szCs w:val="26"/>
        </w:rPr>
        <w:t>United States v. Martino</w:t>
      </w:r>
      <w:r w:rsidRPr="00742E12">
        <w:rPr>
          <w:rFonts w:ascii="Times New Roman" w:eastAsia="Arial" w:hAnsi="Times New Roman" w:cs="Times New Roman"/>
          <w:sz w:val="26"/>
          <w:szCs w:val="26"/>
        </w:rPr>
        <w:t>, 648 F.2d 367, 383 (</w:t>
      </w:r>
      <w:r>
        <w:rPr>
          <w:rFonts w:ascii="Times New Roman" w:eastAsia="Arial" w:hAnsi="Times New Roman" w:cs="Times New Roman"/>
          <w:sz w:val="26"/>
          <w:szCs w:val="26"/>
        </w:rPr>
        <w:t>5</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Cir. 1981).</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Eleventh Circuit’s treatment of this issue is, however, not completely consistent. For example, in </w:t>
      </w:r>
      <w:r>
        <w:rPr>
          <w:rFonts w:ascii="Times New Roman" w:eastAsia="Arial" w:hAnsi="Times New Roman" w:cs="Times New Roman"/>
          <w:i/>
          <w:sz w:val="26"/>
          <w:szCs w:val="26"/>
        </w:rPr>
        <w:t>Pepe</w:t>
      </w:r>
      <w:r>
        <w:rPr>
          <w:rFonts w:ascii="Times New Roman" w:eastAsia="Arial" w:hAnsi="Times New Roman" w:cs="Times New Roman"/>
          <w:sz w:val="26"/>
          <w:szCs w:val="26"/>
        </w:rPr>
        <w:t>, the court affirmed where a Defendant had been acquitted of RICO conspiracy but found guilty of a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violation, noting that the evidence was sufficient to permit the jury to find that the Defendant engaged in racketeering activity and was an active participant in the enterprise, which was characterized as “knowing participant in the enterprise.” 747 F.2d at 665. As between these two, the requirement that the Defendant be an active participant seems to be more appropriate but this is not a completely settled area of law in this circuit. Accordingly, current case activity should be researched before this instruction is used to determine if more recent circuit authority on this issue is available.</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This instruction assumes a single plaintiff suing a single defendant. It needs to be modified if there are multiple parties.</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 </w:t>
      </w:r>
      <w:r>
        <w:rPr>
          <w:rFonts w:ascii="Times New Roman" w:eastAsia="Arial" w:hAnsi="Times New Roman" w:cs="Times New Roman"/>
          <w:i/>
          <w:sz w:val="26"/>
          <w:szCs w:val="26"/>
        </w:rPr>
        <w:t>Beck v. Prupis</w:t>
      </w:r>
      <w:r>
        <w:rPr>
          <w:rFonts w:ascii="Times New Roman" w:eastAsia="Arial" w:hAnsi="Times New Roman" w:cs="Times New Roman"/>
          <w:sz w:val="26"/>
          <w:szCs w:val="26"/>
        </w:rPr>
        <w:t xml:space="preserve">, 162 F.3d 1090, 1095 </w:t>
      </w:r>
      <w:r w:rsidR="00EB2AAC">
        <w:rPr>
          <w:rFonts w:ascii="Times New Roman" w:eastAsia="Arial" w:hAnsi="Times New Roman" w:cs="Times New Roman"/>
          <w:sz w:val="26"/>
          <w:szCs w:val="26"/>
        </w:rPr>
        <w:t>n</w:t>
      </w:r>
      <w:r>
        <w:rPr>
          <w:rFonts w:ascii="Times New Roman" w:eastAsia="Arial" w:hAnsi="Times New Roman" w:cs="Times New Roman"/>
          <w:sz w:val="26"/>
          <w:szCs w:val="26"/>
        </w:rPr>
        <w:t>.8 (11</w:t>
      </w:r>
      <w:r w:rsidRPr="00A334E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1998), the Eleventh Circuit noted that § 1962(b) of RICO prohibits acquisition through a pattern of racketeering activity of interest in an enterprise involving interstate commerce. </w:t>
      </w:r>
      <w:r>
        <w:rPr>
          <w:rFonts w:ascii="Times New Roman" w:eastAsia="Arial" w:hAnsi="Times New Roman" w:cs="Times New Roman"/>
          <w:i/>
          <w:sz w:val="26"/>
          <w:szCs w:val="26"/>
        </w:rPr>
        <w:t>See also Pelletier v. Zweifel</w:t>
      </w:r>
      <w:r>
        <w:rPr>
          <w:rFonts w:ascii="Times New Roman" w:eastAsia="Arial" w:hAnsi="Times New Roman" w:cs="Times New Roman"/>
          <w:sz w:val="26"/>
          <w:szCs w:val="26"/>
        </w:rPr>
        <w:t>, 921 F.2d 1465, 1489 (11</w:t>
      </w:r>
      <w:r w:rsidRPr="006B7C0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Ga. 1991) (“Section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imposes criminal liability on anyone who ‘through a pattern </w:t>
      </w:r>
      <w:r w:rsidR="00EB2AAC">
        <w:rPr>
          <w:rFonts w:ascii="Times New Roman" w:eastAsia="Arial" w:hAnsi="Times New Roman" w:cs="Times New Roman"/>
          <w:sz w:val="26"/>
          <w:szCs w:val="26"/>
        </w:rPr>
        <w:t>of</w:t>
      </w:r>
      <w:r>
        <w:rPr>
          <w:rFonts w:ascii="Times New Roman" w:eastAsia="Arial" w:hAnsi="Times New Roman" w:cs="Times New Roman"/>
          <w:sz w:val="26"/>
          <w:szCs w:val="26"/>
        </w:rPr>
        <w:t xml:space="preserve"> racketeering activity acquire[s] or maintain[s], directly or indirectly, any interest in or control of any enterprise… engaged in… interstate… commerce.’”) (quoting 18 U.S.C.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Avirgan v. Hull</w:t>
      </w:r>
      <w:r>
        <w:rPr>
          <w:rFonts w:ascii="Times New Roman" w:eastAsia="Arial" w:hAnsi="Times New Roman" w:cs="Times New Roman"/>
          <w:sz w:val="26"/>
          <w:szCs w:val="26"/>
        </w:rPr>
        <w:t>, 691 F. Supp. 1357, 1361 (S.D. Fla. 1988) (“A defendant violates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by acquiring or maintaining through a pattern of racketeering activity any interest in or control of any enterprise which is engaged in or the activities of which affect interstate commerce.”).</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definition of “predicate act” comes from </w:t>
      </w:r>
      <w:r>
        <w:rPr>
          <w:rFonts w:ascii="Times New Roman" w:eastAsia="Arial" w:hAnsi="Times New Roman" w:cs="Times New Roman"/>
          <w:i/>
          <w:sz w:val="26"/>
          <w:szCs w:val="26"/>
        </w:rPr>
        <w:t>Williams v. Mohawk Indus., Inc.</w:t>
      </w:r>
      <w:r>
        <w:rPr>
          <w:rFonts w:ascii="Times New Roman" w:eastAsia="Arial" w:hAnsi="Times New Roman" w:cs="Times New Roman"/>
          <w:sz w:val="26"/>
          <w:szCs w:val="26"/>
        </w:rPr>
        <w:t>, 465 F.3d 1277, 1283 (11</w:t>
      </w:r>
      <w:r w:rsidRPr="006B7C0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2006) (</w:t>
      </w:r>
      <w:r w:rsidRPr="00EB2AAC">
        <w:rPr>
          <w:rFonts w:ascii="Times New Roman" w:eastAsia="Arial" w:hAnsi="Times New Roman" w:cs="Times New Roman"/>
          <w:sz w:val="26"/>
          <w:szCs w:val="26"/>
        </w:rPr>
        <w:t>quoting</w:t>
      </w:r>
      <w:r w:rsidRPr="00A334E3">
        <w:rPr>
          <w:rFonts w:ascii="Times New Roman" w:eastAsia="Arial" w:hAnsi="Times New Roman" w:cs="Times New Roman"/>
          <w:i/>
          <w:sz w:val="26"/>
          <w:szCs w:val="26"/>
        </w:rPr>
        <w:t xml:space="preserve"> </w:t>
      </w:r>
      <w:r>
        <w:rPr>
          <w:rFonts w:ascii="Times New Roman" w:eastAsia="Arial" w:hAnsi="Times New Roman" w:cs="Times New Roman"/>
          <w:i/>
          <w:sz w:val="26"/>
          <w:szCs w:val="26"/>
        </w:rPr>
        <w:t>Maiz v. Virani</w:t>
      </w:r>
      <w:r>
        <w:rPr>
          <w:rFonts w:ascii="Times New Roman" w:eastAsia="Arial" w:hAnsi="Times New Roman" w:cs="Times New Roman"/>
          <w:sz w:val="26"/>
          <w:szCs w:val="26"/>
        </w:rPr>
        <w:t>, 253 F.3d 641, 671 (11</w:t>
      </w:r>
      <w:r w:rsidRPr="006B7C0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“A ‘pattern’ of racketeering activity is shown when a racketeer commits at least two distinct but related predicate acts.”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In </w:t>
      </w:r>
      <w:r>
        <w:rPr>
          <w:rFonts w:ascii="Times New Roman" w:eastAsia="Arial" w:hAnsi="Times New Roman" w:cs="Times New Roman"/>
          <w:i/>
          <w:sz w:val="26"/>
          <w:szCs w:val="26"/>
        </w:rPr>
        <w:t>Williams</w:t>
      </w:r>
      <w:r>
        <w:rPr>
          <w:rFonts w:ascii="Times New Roman" w:eastAsia="Arial" w:hAnsi="Times New Roman" w:cs="Times New Roman"/>
          <w:sz w:val="26"/>
          <w:szCs w:val="26"/>
        </w:rPr>
        <w:t>, the Court affirmed denial of the defendant’s Rule 12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6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motion to dismiss the RICO claims, finding that the plaintiff’s allegations that the defendant had “committed hundreds, even thousands, of violations of federal immigration laws” were sufficient to plead a “pattern of racketeering activity.” </w:t>
      </w:r>
      <w:r>
        <w:rPr>
          <w:rFonts w:ascii="Times New Roman" w:eastAsia="Arial" w:hAnsi="Times New Roman" w:cs="Times New Roman"/>
          <w:i/>
          <w:sz w:val="26"/>
          <w:szCs w:val="26"/>
        </w:rPr>
        <w:t>Id</w:t>
      </w:r>
      <w:r>
        <w:rPr>
          <w:rFonts w:ascii="Times New Roman" w:eastAsia="Arial" w:hAnsi="Times New Roman" w:cs="Times New Roman"/>
          <w:sz w:val="26"/>
          <w:szCs w:val="26"/>
        </w:rPr>
        <w:t>.</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The continuity and relationship elements are derived from </w:t>
      </w:r>
      <w:r>
        <w:rPr>
          <w:rFonts w:ascii="Times New Roman" w:eastAsia="Arial" w:hAnsi="Times New Roman" w:cs="Times New Roman"/>
          <w:i/>
          <w:sz w:val="26"/>
          <w:szCs w:val="26"/>
        </w:rPr>
        <w:t>United States v. Browne</w:t>
      </w:r>
      <w:r>
        <w:rPr>
          <w:rFonts w:ascii="Times New Roman" w:eastAsia="Arial" w:hAnsi="Times New Roman" w:cs="Times New Roman"/>
          <w:sz w:val="26"/>
          <w:szCs w:val="26"/>
        </w:rPr>
        <w:t>, 505 F.3d 1229, 1257 (11</w:t>
      </w:r>
      <w:r w:rsidRPr="00A816D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2007) (noting that to establish a pattern of predicate acts, the plaintiff must prove that the predicate acts relate to each other and have continuity). In defining how “the predicate acts must relate to each other,” the Eleventh Circuit has stated this “the predicate acts must ‘have the same or similar purposes, results, participants, victims, or methods of commission, or otherwise [be] interrelated by distinguishing characteristics and… not [be] isolated events.’”) </w:t>
      </w:r>
      <w:r>
        <w:rPr>
          <w:rFonts w:ascii="Times New Roman" w:eastAsia="Arial" w:hAnsi="Times New Roman" w:cs="Times New Roman"/>
          <w:i/>
          <w:sz w:val="26"/>
          <w:szCs w:val="26"/>
        </w:rPr>
        <w:t>Id</w:t>
      </w:r>
      <w:r>
        <w:rPr>
          <w:rFonts w:ascii="Times New Roman" w:eastAsia="Arial" w:hAnsi="Times New Roman" w:cs="Times New Roman"/>
          <w:sz w:val="26"/>
          <w:szCs w:val="26"/>
        </w:rPr>
        <w:t>. (</w:t>
      </w:r>
      <w:r w:rsidRPr="00EB2AAC">
        <w:rPr>
          <w:rFonts w:ascii="Times New Roman" w:eastAsia="Arial" w:hAnsi="Times New Roman" w:cs="Times New Roman"/>
          <w:sz w:val="26"/>
          <w:szCs w:val="26"/>
        </w:rPr>
        <w:t>quoting</w:t>
      </w:r>
      <w:r w:rsidRPr="00A334E3">
        <w:rPr>
          <w:rFonts w:ascii="Times New Roman" w:eastAsia="Arial" w:hAnsi="Times New Roman" w:cs="Times New Roman"/>
          <w:i/>
          <w:sz w:val="26"/>
          <w:szCs w:val="26"/>
        </w:rPr>
        <w:t xml:space="preserve"> </w:t>
      </w:r>
      <w:r>
        <w:rPr>
          <w:rFonts w:ascii="Times New Roman" w:eastAsia="Arial" w:hAnsi="Times New Roman" w:cs="Times New Roman"/>
          <w:i/>
          <w:sz w:val="26"/>
          <w:szCs w:val="26"/>
        </w:rPr>
        <w:t>Sedima, S.P.R.L. v. Imrex Co.</w:t>
      </w:r>
      <w:r>
        <w:rPr>
          <w:rFonts w:ascii="Times New Roman" w:eastAsia="Arial" w:hAnsi="Times New Roman" w:cs="Times New Roman"/>
          <w:sz w:val="26"/>
          <w:szCs w:val="26"/>
        </w:rPr>
        <w:t xml:space="preserve">, 473 U.S. 479, 496, n.14 (1985)); </w:t>
      </w:r>
      <w:r>
        <w:rPr>
          <w:rFonts w:ascii="Times New Roman" w:eastAsia="Arial" w:hAnsi="Times New Roman" w:cs="Times New Roman"/>
          <w:i/>
          <w:sz w:val="26"/>
          <w:szCs w:val="26"/>
        </w:rPr>
        <w:t>United States v. Starrett</w:t>
      </w:r>
      <w:r>
        <w:rPr>
          <w:rFonts w:ascii="Times New Roman" w:eastAsia="Arial" w:hAnsi="Times New Roman" w:cs="Times New Roman"/>
          <w:sz w:val="26"/>
          <w:szCs w:val="26"/>
        </w:rPr>
        <w:t>, 55 F.3d 1525, 1543 (11</w:t>
      </w:r>
      <w:r w:rsidRPr="00A816D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1995) (same). In </w:t>
      </w:r>
      <w:r>
        <w:rPr>
          <w:rFonts w:ascii="Times New Roman" w:eastAsia="Arial" w:hAnsi="Times New Roman" w:cs="Times New Roman"/>
          <w:i/>
          <w:sz w:val="26"/>
          <w:szCs w:val="26"/>
        </w:rPr>
        <w:t>Starrett</w:t>
      </w:r>
      <w:r>
        <w:rPr>
          <w:rFonts w:ascii="Times New Roman" w:eastAsia="Arial" w:hAnsi="Times New Roman" w:cs="Times New Roman"/>
          <w:sz w:val="26"/>
          <w:szCs w:val="26"/>
        </w:rPr>
        <w:t xml:space="preserve">, the court found that the evidence that the defendant used a communication facility in the perpetration of a felony, transported an individual across state lines for the purpose of prostitution, and intended to distribute cocaine and marijuana supported a finding that the defendant’s predicate acts were related.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at 1547. Specifically, the court found that “[f]our of the [defendant’s] predicate acts shared the purpose of facilitating illegal prostitution, and the other four predicate acts share the purpose of furthering narcotics distribution.” </w:t>
      </w:r>
      <w:r>
        <w:rPr>
          <w:rFonts w:ascii="Times New Roman" w:eastAsia="Arial" w:hAnsi="Times New Roman" w:cs="Times New Roman"/>
          <w:i/>
          <w:sz w:val="26"/>
          <w:szCs w:val="26"/>
        </w:rPr>
        <w:t>Id</w:t>
      </w:r>
      <w:r>
        <w:rPr>
          <w:rFonts w:ascii="Times New Roman" w:eastAsia="Arial" w:hAnsi="Times New Roman" w:cs="Times New Roman"/>
          <w:sz w:val="26"/>
          <w:szCs w:val="26"/>
        </w:rPr>
        <w:t>.</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i/>
          <w:sz w:val="26"/>
          <w:szCs w:val="26"/>
        </w:rPr>
        <w:t>Starrett</w:t>
      </w:r>
      <w:r>
        <w:rPr>
          <w:rFonts w:ascii="Times New Roman" w:eastAsia="Arial" w:hAnsi="Times New Roman" w:cs="Times New Roman"/>
          <w:sz w:val="26"/>
          <w:szCs w:val="26"/>
        </w:rPr>
        <w:t xml:space="preserve"> also discussed examples of how the two required predicate acts need not be the same type of acts to be related. </w:t>
      </w:r>
      <w:r>
        <w:rPr>
          <w:rFonts w:ascii="Times New Roman" w:eastAsia="Arial" w:hAnsi="Times New Roman" w:cs="Times New Roman"/>
          <w:i/>
          <w:sz w:val="26"/>
          <w:szCs w:val="26"/>
        </w:rPr>
        <w:t>Id</w:t>
      </w:r>
      <w:r>
        <w:rPr>
          <w:rFonts w:ascii="Times New Roman" w:eastAsia="Arial" w:hAnsi="Times New Roman" w:cs="Times New Roman"/>
          <w:sz w:val="26"/>
          <w:szCs w:val="26"/>
        </w:rPr>
        <w:t>. (finding that the evidence that the defendant used a communication facility in the perpetration of a felony, transported an individual across state lines for the purpose of prostitution, and intended to distribute cocaine and marijuana supported a finding that the defendant’s predicate acts were related).</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As for continuity, “[p]redicate acts demonstrate continuity if they are either ‘a closed period of repeated conduct,’ or ‘past conduct that by its nature projects into the future with a threat of repetition.’”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at 1543 (quoting </w:t>
      </w:r>
      <w:r>
        <w:rPr>
          <w:rFonts w:ascii="Times New Roman" w:eastAsia="Arial" w:hAnsi="Times New Roman" w:cs="Times New Roman"/>
          <w:i/>
          <w:sz w:val="26"/>
          <w:szCs w:val="26"/>
        </w:rPr>
        <w:t>H.J., Inc. v. NW Bell Tel. Co.</w:t>
      </w:r>
      <w:r>
        <w:rPr>
          <w:rFonts w:ascii="Times New Roman" w:eastAsia="Arial" w:hAnsi="Times New Roman" w:cs="Times New Roman"/>
          <w:sz w:val="26"/>
          <w:szCs w:val="26"/>
        </w:rPr>
        <w:t xml:space="preserve">, 492 U.S. 229 (1989)). </w:t>
      </w:r>
      <w:r>
        <w:rPr>
          <w:rFonts w:ascii="Times New Roman" w:eastAsia="Arial" w:hAnsi="Times New Roman" w:cs="Times New Roman"/>
          <w:i/>
          <w:sz w:val="26"/>
          <w:szCs w:val="26"/>
        </w:rPr>
        <w:t>See also, Browne</w:t>
      </w:r>
      <w:r>
        <w:rPr>
          <w:rFonts w:ascii="Times New Roman" w:eastAsia="Arial" w:hAnsi="Times New Roman" w:cs="Times New Roman"/>
          <w:sz w:val="26"/>
          <w:szCs w:val="26"/>
        </w:rPr>
        <w:t xml:space="preserve">, 505 F.3d at 1257. The continuity of predicate acts was found to be satisfactorily alleged where defendants “had agreed to a scheme whereby [one] would supply [the other] with cocaine on an on-going basis.” </w:t>
      </w:r>
      <w:r>
        <w:rPr>
          <w:rFonts w:ascii="Times New Roman" w:eastAsia="Arial" w:hAnsi="Times New Roman" w:cs="Times New Roman"/>
          <w:i/>
          <w:sz w:val="26"/>
          <w:szCs w:val="26"/>
        </w:rPr>
        <w:t>Starrett</w:t>
      </w:r>
      <w:r>
        <w:rPr>
          <w:rFonts w:ascii="Times New Roman" w:eastAsia="Arial" w:hAnsi="Times New Roman" w:cs="Times New Roman"/>
          <w:sz w:val="26"/>
          <w:szCs w:val="26"/>
        </w:rPr>
        <w:t>, 55 F.3d at 1547.</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This instruction differs from the instruction for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in that it requires a plaintiff to establish that a defendant acquired, maintained an interest in, or obtained control over an enterprise, through a pattern of racketeering activity. </w:t>
      </w:r>
      <w:r>
        <w:rPr>
          <w:rFonts w:ascii="Times New Roman" w:eastAsia="Arial" w:hAnsi="Times New Roman" w:cs="Times New Roman"/>
          <w:i/>
          <w:sz w:val="26"/>
          <w:szCs w:val="26"/>
        </w:rPr>
        <w:t>See Pelletier</w:t>
      </w:r>
      <w:r>
        <w:rPr>
          <w:rFonts w:ascii="Times New Roman" w:eastAsia="Arial" w:hAnsi="Times New Roman" w:cs="Times New Roman"/>
          <w:sz w:val="26"/>
          <w:szCs w:val="26"/>
        </w:rPr>
        <w:t xml:space="preserve">, 921 F.2d at 518 (discussing necessity of nexus between racketeering activities and acquisition of interest in or control of enterprise and finding that the plaintiff’s complaint failed to indicate how the defendant acquired or maintained a partnership interest in the enterprise at issue through a pattern of racketeering activity); </w:t>
      </w:r>
      <w:r>
        <w:rPr>
          <w:rFonts w:ascii="Times New Roman" w:eastAsia="Arial" w:hAnsi="Times New Roman" w:cs="Times New Roman"/>
          <w:i/>
          <w:sz w:val="26"/>
          <w:szCs w:val="26"/>
        </w:rPr>
        <w:t>Johnson Enters. of Jacksonville v. FPL Group</w:t>
      </w:r>
      <w:r>
        <w:rPr>
          <w:rFonts w:ascii="Times New Roman" w:eastAsia="Arial" w:hAnsi="Times New Roman" w:cs="Times New Roman"/>
          <w:sz w:val="26"/>
          <w:szCs w:val="26"/>
        </w:rPr>
        <w:t>, 162 F.3d 1290, 1317 (11</w:t>
      </w:r>
      <w:r w:rsidRPr="00FF6A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1998) (finding “no evidence that any of the defendants ‘acquired or maintained, directly, or indirectly, an interest in or control of [the enterprise at issue] through a pattern of racketeering activity.’”) (quoting U.S.C. § 1962(b)).</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18 U.S.C. 1961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provides the definition of enterprise as “any individual, partnership, corporation, association, or other legal entity, and any union or group of </w:t>
      </w:r>
      <w:r>
        <w:rPr>
          <w:rFonts w:ascii="Times New Roman" w:eastAsia="Arial" w:hAnsi="Times New Roman" w:cs="Times New Roman"/>
          <w:sz w:val="26"/>
          <w:szCs w:val="26"/>
        </w:rPr>
        <w:lastRenderedPageBreak/>
        <w:t xml:space="preserve">individuals associated in fact although not a legal entity.” For discussion regarding the definitions of individual or entity enterprise or association-in-fact enterprise, </w:t>
      </w:r>
      <w:r>
        <w:rPr>
          <w:rFonts w:ascii="Times New Roman" w:eastAsia="Arial" w:hAnsi="Times New Roman" w:cs="Times New Roman"/>
          <w:i/>
          <w:sz w:val="26"/>
          <w:szCs w:val="26"/>
        </w:rPr>
        <w:t>see Starrett</w:t>
      </w:r>
      <w:r>
        <w:rPr>
          <w:rFonts w:ascii="Times New Roman" w:eastAsia="Arial" w:hAnsi="Times New Roman" w:cs="Times New Roman"/>
          <w:sz w:val="26"/>
          <w:szCs w:val="26"/>
        </w:rPr>
        <w:t xml:space="preserve">, 55 F.3d at 1541 (the South Florida Chapter of the Outlaw Motorcycle Club constituted </w:t>
      </w:r>
      <w:r w:rsidR="00EB2AAC">
        <w:rPr>
          <w:rFonts w:ascii="Times New Roman" w:eastAsia="Arial" w:hAnsi="Times New Roman" w:cs="Times New Roman"/>
          <w:sz w:val="26"/>
          <w:szCs w:val="26"/>
        </w:rPr>
        <w:t>an</w:t>
      </w:r>
      <w:r>
        <w:rPr>
          <w:rFonts w:ascii="Times New Roman" w:eastAsia="Arial" w:hAnsi="Times New Roman" w:cs="Times New Roman"/>
          <w:sz w:val="26"/>
          <w:szCs w:val="26"/>
        </w:rPr>
        <w:t xml:space="preserve"> enterprise under 18 U.S.C. § 1961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Williams</w:t>
      </w:r>
      <w:r>
        <w:rPr>
          <w:rFonts w:ascii="Times New Roman" w:eastAsia="Arial" w:hAnsi="Times New Roman" w:cs="Times New Roman"/>
          <w:sz w:val="26"/>
          <w:szCs w:val="26"/>
        </w:rPr>
        <w:t xml:space="preserve">, 465 F.3d at 1284 (“[T]he definitive factor in determining the existence of a RICO enterprise is the existence of an association of individual entities, however loose </w:t>
      </w:r>
      <w:r w:rsidR="00EB2AAC">
        <w:rPr>
          <w:rFonts w:ascii="Times New Roman" w:eastAsia="Arial" w:hAnsi="Times New Roman" w:cs="Times New Roman"/>
          <w:sz w:val="26"/>
          <w:szCs w:val="26"/>
        </w:rPr>
        <w:t>or</w:t>
      </w:r>
      <w:r>
        <w:rPr>
          <w:rFonts w:ascii="Times New Roman" w:eastAsia="Arial" w:hAnsi="Times New Roman" w:cs="Times New Roman"/>
          <w:sz w:val="26"/>
          <w:szCs w:val="26"/>
        </w:rPr>
        <w:t xml:space="preserve"> informal, that furnishes a vehicle for the commission of two or more predicate crimes, that is, the pattern of racketeering activity.”) (</w:t>
      </w:r>
      <w:r w:rsidRPr="00AF4B2C">
        <w:rPr>
          <w:rFonts w:ascii="Times New Roman" w:eastAsia="Arial" w:hAnsi="Times New Roman" w:cs="Times New Roman"/>
          <w:sz w:val="26"/>
          <w:szCs w:val="26"/>
        </w:rPr>
        <w:t>quoting</w:t>
      </w:r>
      <w:r w:rsidRPr="00A334E3">
        <w:rPr>
          <w:rFonts w:ascii="Times New Roman" w:eastAsia="Arial" w:hAnsi="Times New Roman" w:cs="Times New Roman"/>
          <w:i/>
          <w:sz w:val="26"/>
          <w:szCs w:val="26"/>
        </w:rPr>
        <w:t xml:space="preserve"> </w:t>
      </w:r>
      <w:r>
        <w:rPr>
          <w:rFonts w:ascii="Times New Roman" w:eastAsia="Arial" w:hAnsi="Times New Roman" w:cs="Times New Roman"/>
          <w:i/>
          <w:sz w:val="26"/>
          <w:szCs w:val="26"/>
        </w:rPr>
        <w:t>United States v. Goldin Industries, Inc.</w:t>
      </w:r>
      <w:r>
        <w:rPr>
          <w:rFonts w:ascii="Times New Roman" w:eastAsia="Arial" w:hAnsi="Times New Roman" w:cs="Times New Roman"/>
          <w:sz w:val="26"/>
          <w:szCs w:val="26"/>
        </w:rPr>
        <w:t>, 219 F.3d 1271, 1275 (11</w:t>
      </w:r>
      <w:r w:rsidRPr="00FF6A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2000)). In </w:t>
      </w:r>
      <w:r>
        <w:rPr>
          <w:rFonts w:ascii="Times New Roman" w:eastAsia="Arial" w:hAnsi="Times New Roman" w:cs="Times New Roman"/>
          <w:i/>
          <w:sz w:val="26"/>
          <w:szCs w:val="26"/>
        </w:rPr>
        <w:t>Williams</w:t>
      </w:r>
      <w:r>
        <w:rPr>
          <w:rFonts w:ascii="Times New Roman" w:eastAsia="Arial" w:hAnsi="Times New Roman" w:cs="Times New Roman"/>
          <w:sz w:val="26"/>
          <w:szCs w:val="26"/>
        </w:rPr>
        <w:t>, the Court found that the plaintiff’s allegations that the defendant corporation worked with third-party temp agencies/recruiters to bring illegal workers into this country for the defendant’s benefit were sufficient to allege an “enterprise” under this section.</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 </w:t>
      </w:r>
      <w:r>
        <w:rPr>
          <w:rFonts w:ascii="Times New Roman" w:eastAsia="Arial" w:hAnsi="Times New Roman" w:cs="Times New Roman"/>
          <w:i/>
          <w:sz w:val="26"/>
          <w:szCs w:val="26"/>
        </w:rPr>
        <w:t>Boyle v. United States</w:t>
      </w:r>
      <w:r>
        <w:rPr>
          <w:rFonts w:ascii="Times New Roman" w:eastAsia="Arial" w:hAnsi="Times New Roman" w:cs="Times New Roman"/>
          <w:sz w:val="26"/>
          <w:szCs w:val="26"/>
        </w:rPr>
        <w:t xml:space="preserve">, 556 U.S. 938, 946-47, 129 S. Ct. 2237, 2244 (2009), the Supreme Court held that “an association-in-fact enterprise must have at least three structural features: a purpose, relationships among those associated with an enterprise, and longevity sufficient to permit these associates to pursue the enterprise’s purpose.”). </w:t>
      </w:r>
      <w:r>
        <w:rPr>
          <w:rFonts w:ascii="Times New Roman" w:eastAsia="Arial" w:hAnsi="Times New Roman" w:cs="Times New Roman"/>
          <w:i/>
          <w:sz w:val="26"/>
          <w:szCs w:val="26"/>
        </w:rPr>
        <w:t>See also Williams</w:t>
      </w:r>
      <w:r>
        <w:rPr>
          <w:rFonts w:ascii="Times New Roman" w:eastAsia="Arial" w:hAnsi="Times New Roman" w:cs="Times New Roman"/>
          <w:sz w:val="26"/>
          <w:szCs w:val="26"/>
        </w:rPr>
        <w:t xml:space="preserve">, 465 F.3d at 1284-85 (allegations that the defendant corporation worked with third-party temp agencies/recruiters to bring illegal workers into this country for the defendant’s benefit were sufficient to allege common purpose). In </w:t>
      </w:r>
      <w:r>
        <w:rPr>
          <w:rFonts w:ascii="Times New Roman" w:eastAsia="Arial" w:hAnsi="Times New Roman" w:cs="Times New Roman"/>
          <w:i/>
          <w:sz w:val="26"/>
          <w:szCs w:val="26"/>
        </w:rPr>
        <w:t>Boyle</w:t>
      </w:r>
      <w:r>
        <w:rPr>
          <w:rFonts w:ascii="Times New Roman" w:eastAsia="Arial" w:hAnsi="Times New Roman" w:cs="Times New Roman"/>
          <w:sz w:val="26"/>
          <w:szCs w:val="26"/>
        </w:rPr>
        <w:t>, the defendant was charged in connection with a series of bank thefts allegedly conducted by a group that was loosely organized and did not appear to have a leader or hierarchy. The Supreme Court ruled that although the three structural features set forth above were necessary for a finding of an association-in-fact enterprise, there are no additional structural features such as hierarchy or a chain of command required.</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Pursuant to 18 U.S.C. § 1964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“[a]ny person injured in his business or property by reason of a violation of section 1962… may sue… in any appropriate United States district court” and may recover treble damages and a reasonable attorney’s fee. </w:t>
      </w:r>
      <w:r>
        <w:rPr>
          <w:rFonts w:ascii="Times New Roman" w:eastAsia="Arial" w:hAnsi="Times New Roman" w:cs="Times New Roman"/>
          <w:i/>
          <w:sz w:val="26"/>
          <w:szCs w:val="26"/>
        </w:rPr>
        <w:t>See, Fuller v. Home Depot Servs., LLC</w:t>
      </w:r>
      <w:r>
        <w:rPr>
          <w:rFonts w:ascii="Times New Roman" w:eastAsia="Arial" w:hAnsi="Times New Roman" w:cs="Times New Roman"/>
          <w:sz w:val="26"/>
          <w:szCs w:val="26"/>
        </w:rPr>
        <w:t>, 512 F. Supp. 2d 1289, 1294 (N.D. Ga. 2007) (“Just as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requires an investment injury,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requires an acquisition injury.”). However, no person may rely upon any conduct that would have been actionable as fraud in the purchase or sale of securities to establish a violation of Section 1962. This exclusion concerning securities does not apply to an action against any person that is criminally convicted in connection with a securities fraud. 18 U.S.C. § 1964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
    <w:p w:rsidR="00854FFE"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There is a split within the circuit regarding this injury causation issue. However, the prevailing (and more recent) authority establishes that the plaintiff’s injury must have resulted from the acquisition itself. </w:t>
      </w:r>
      <w:r>
        <w:rPr>
          <w:rFonts w:ascii="Times New Roman" w:eastAsia="Arial" w:hAnsi="Times New Roman" w:cs="Times New Roman"/>
          <w:i/>
          <w:sz w:val="26"/>
          <w:szCs w:val="26"/>
        </w:rPr>
        <w:t>Compare: Fuller</w:t>
      </w:r>
      <w:r w:rsidR="00EB2AAC">
        <w:rPr>
          <w:rFonts w:ascii="Times New Roman" w:eastAsia="Arial" w:hAnsi="Times New Roman" w:cs="Times New Roman"/>
          <w:i/>
          <w:sz w:val="26"/>
          <w:szCs w:val="26"/>
        </w:rPr>
        <w:t xml:space="preserve"> v. Home Depot Servs., LLC</w:t>
      </w:r>
      <w:r>
        <w:rPr>
          <w:rFonts w:ascii="Times New Roman" w:eastAsia="Arial" w:hAnsi="Times New Roman" w:cs="Times New Roman"/>
          <w:sz w:val="26"/>
          <w:szCs w:val="26"/>
        </w:rPr>
        <w:t>, 512 F. Supp. 2d</w:t>
      </w:r>
      <w:r w:rsidR="00EB2AAC">
        <w:rPr>
          <w:rFonts w:ascii="Times New Roman" w:eastAsia="Arial" w:hAnsi="Times New Roman" w:cs="Times New Roman"/>
          <w:sz w:val="26"/>
          <w:szCs w:val="26"/>
        </w:rPr>
        <w:t xml:space="preserve"> 1289, 1294 (N.D. Ga. 2007)</w:t>
      </w:r>
      <w:r>
        <w:rPr>
          <w:rFonts w:ascii="Times New Roman" w:eastAsia="Arial" w:hAnsi="Times New Roman" w:cs="Times New Roman"/>
          <w:sz w:val="26"/>
          <w:szCs w:val="26"/>
        </w:rPr>
        <w:t xml:space="preserve"> (finding injury from predicate acts insufficient when injury did not result from alleged acquisition); </w:t>
      </w:r>
      <w:r>
        <w:rPr>
          <w:rFonts w:ascii="Times New Roman" w:eastAsia="Arial" w:hAnsi="Times New Roman" w:cs="Times New Roman"/>
          <w:i/>
          <w:sz w:val="26"/>
          <w:szCs w:val="26"/>
        </w:rPr>
        <w:t>Smart Sci. Labs., Inc. v. Promotional Mktg. Servs.</w:t>
      </w:r>
      <w:r w:rsidRPr="00AF4B2C">
        <w:rPr>
          <w:rFonts w:ascii="Times New Roman" w:eastAsia="Arial" w:hAnsi="Times New Roman" w:cs="Times New Roman"/>
          <w:i/>
          <w:sz w:val="26"/>
          <w:szCs w:val="26"/>
        </w:rPr>
        <w:t>, No. 8:07-CV-1554-T-24EAJ</w:t>
      </w:r>
      <w:r>
        <w:rPr>
          <w:rFonts w:ascii="Times New Roman" w:eastAsia="Arial" w:hAnsi="Times New Roman" w:cs="Times New Roman"/>
          <w:sz w:val="26"/>
          <w:szCs w:val="26"/>
        </w:rPr>
        <w:t xml:space="preserve">, 2008 U.S. Dist. LEXIS 118270, at *20 (M.D. Fla. June 27, 2008) (“[Plaintiff] fails to allege injury by reason of [Defendant’s] </w:t>
      </w:r>
      <w:r>
        <w:rPr>
          <w:rFonts w:ascii="Times New Roman" w:eastAsia="Arial" w:hAnsi="Times New Roman" w:cs="Times New Roman"/>
          <w:sz w:val="26"/>
          <w:szCs w:val="26"/>
        </w:rPr>
        <w:lastRenderedPageBreak/>
        <w:t xml:space="preserve">acquisition or control of an enterprise through </w:t>
      </w:r>
      <w:r w:rsidR="00EB2AAC">
        <w:rPr>
          <w:rFonts w:ascii="Times New Roman" w:eastAsia="Arial" w:hAnsi="Times New Roman" w:cs="Times New Roman"/>
          <w:sz w:val="26"/>
          <w:szCs w:val="26"/>
        </w:rPr>
        <w:t xml:space="preserve">a </w:t>
      </w:r>
      <w:r>
        <w:rPr>
          <w:rFonts w:ascii="Times New Roman" w:eastAsia="Arial" w:hAnsi="Times New Roman" w:cs="Times New Roman"/>
          <w:sz w:val="26"/>
          <w:szCs w:val="26"/>
        </w:rPr>
        <w:t xml:space="preserve">pattern of racketeering activity.”); </w:t>
      </w:r>
      <w:r>
        <w:rPr>
          <w:rFonts w:ascii="Times New Roman" w:eastAsia="Arial" w:hAnsi="Times New Roman" w:cs="Times New Roman"/>
          <w:i/>
          <w:sz w:val="26"/>
          <w:szCs w:val="26"/>
        </w:rPr>
        <w:t>Design Pallets, Inc. v. Grayrobinson, P.A.</w:t>
      </w:r>
      <w:r>
        <w:rPr>
          <w:rFonts w:ascii="Times New Roman" w:eastAsia="Arial" w:hAnsi="Times New Roman" w:cs="Times New Roman"/>
          <w:sz w:val="26"/>
          <w:szCs w:val="26"/>
        </w:rPr>
        <w:t>, 515 F. Supp. 2d 1246, 1255 &amp; n.2 (M.D. Fla. 2007) (dismissing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as duplicative of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claim when plaintiff failed to explain what additional injury resulted from defendant’s interest or control of enterprise) (citing </w:t>
      </w:r>
      <w:r>
        <w:rPr>
          <w:rFonts w:ascii="Times New Roman" w:eastAsia="Arial" w:hAnsi="Times New Roman" w:cs="Times New Roman"/>
          <w:i/>
          <w:sz w:val="26"/>
          <w:szCs w:val="26"/>
        </w:rPr>
        <w:t>Lightning Lube v. Witco Corp.</w:t>
      </w:r>
      <w:r>
        <w:rPr>
          <w:rFonts w:ascii="Times New Roman" w:eastAsia="Arial" w:hAnsi="Times New Roman" w:cs="Times New Roman"/>
          <w:sz w:val="26"/>
          <w:szCs w:val="26"/>
        </w:rPr>
        <w:t>, 4 F.3d 1153 (3</w:t>
      </w:r>
      <w:r w:rsidRPr="00DA7DEE">
        <w:rPr>
          <w:rFonts w:ascii="Times New Roman" w:eastAsia="Arial" w:hAnsi="Times New Roman" w:cs="Times New Roman"/>
          <w:sz w:val="26"/>
          <w:szCs w:val="26"/>
          <w:vertAlign w:val="superscript"/>
        </w:rPr>
        <w:t>rd</w:t>
      </w:r>
      <w:r>
        <w:rPr>
          <w:rFonts w:ascii="Times New Roman" w:eastAsia="Arial" w:hAnsi="Times New Roman" w:cs="Times New Roman"/>
          <w:sz w:val="26"/>
          <w:szCs w:val="26"/>
        </w:rPr>
        <w:t xml:space="preserve"> Cir. 1993)); and </w:t>
      </w:r>
      <w:r>
        <w:rPr>
          <w:rFonts w:ascii="Times New Roman" w:eastAsia="Arial" w:hAnsi="Times New Roman" w:cs="Times New Roman"/>
          <w:i/>
          <w:sz w:val="26"/>
          <w:szCs w:val="26"/>
        </w:rPr>
        <w:t>Club Car, Inc. v. Club Car (Quebec) Import, Inc.</w:t>
      </w:r>
      <w:r>
        <w:rPr>
          <w:rFonts w:ascii="Times New Roman" w:eastAsia="Arial" w:hAnsi="Times New Roman" w:cs="Times New Roman"/>
          <w:sz w:val="26"/>
          <w:szCs w:val="26"/>
        </w:rPr>
        <w:t>, 276 F. Supp. 2d 1276, 1288 (S.D. Ga. 2003) (concluding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claim fails when injury did not result from acquisition of enterprise) with: </w:t>
      </w:r>
      <w:r>
        <w:rPr>
          <w:rFonts w:ascii="Times New Roman" w:eastAsia="Arial" w:hAnsi="Times New Roman" w:cs="Times New Roman"/>
          <w:i/>
          <w:sz w:val="26"/>
          <w:szCs w:val="26"/>
        </w:rPr>
        <w:t>In re Sahlen</w:t>
      </w:r>
      <w:r w:rsidR="00EB2AAC">
        <w:rPr>
          <w:rFonts w:ascii="Times New Roman" w:eastAsia="Arial" w:hAnsi="Times New Roman" w:cs="Times New Roman"/>
          <w:i/>
          <w:sz w:val="26"/>
          <w:szCs w:val="26"/>
        </w:rPr>
        <w:t xml:space="preserve"> &amp;</w:t>
      </w:r>
      <w:r>
        <w:rPr>
          <w:rFonts w:ascii="Times New Roman" w:eastAsia="Arial" w:hAnsi="Times New Roman" w:cs="Times New Roman"/>
          <w:i/>
          <w:sz w:val="26"/>
          <w:szCs w:val="26"/>
        </w:rPr>
        <w:t xml:space="preserve"> Assoc., Sec. Litig.</w:t>
      </w:r>
      <w:r>
        <w:rPr>
          <w:rFonts w:ascii="Times New Roman" w:eastAsia="Arial" w:hAnsi="Times New Roman" w:cs="Times New Roman"/>
          <w:sz w:val="26"/>
          <w:szCs w:val="26"/>
        </w:rPr>
        <w:t>, 773 F. Supp. 342, 369 (S.D. Fla. 1991) (“[Defendants] contend that Plaintiffs’ claims are deficient in that they fail to allege an injury caused by either the use of income derived from racketeering activity or by the acquisition or maintenance of an interest in a RICO enterprise. Unlike the additional causation connection necessary to state a cause of action under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however, § 1962</w:t>
      </w:r>
      <w:r w:rsidR="00EB2AAC">
        <w:rPr>
          <w:rFonts w:ascii="Times New Roman" w:eastAsia="Arial" w:hAnsi="Times New Roman" w:cs="Times New Roman"/>
          <w:sz w:val="26"/>
          <w:szCs w:val="26"/>
        </w:rPr>
        <w:t>(</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does not require such a nexus.”); </w:t>
      </w:r>
      <w:r>
        <w:rPr>
          <w:rFonts w:ascii="Times New Roman" w:eastAsia="Arial" w:hAnsi="Times New Roman" w:cs="Times New Roman"/>
          <w:i/>
          <w:sz w:val="26"/>
          <w:szCs w:val="26"/>
        </w:rPr>
        <w:t>Avirgan</w:t>
      </w:r>
      <w:r>
        <w:rPr>
          <w:rFonts w:ascii="Times New Roman" w:eastAsia="Arial" w:hAnsi="Times New Roman" w:cs="Times New Roman"/>
          <w:sz w:val="26"/>
          <w:szCs w:val="26"/>
        </w:rPr>
        <w:t xml:space="preserve">, 691 F. Supp. </w:t>
      </w:r>
      <w:r w:rsidR="00EB2AAC">
        <w:rPr>
          <w:rFonts w:ascii="Times New Roman" w:eastAsia="Arial" w:hAnsi="Times New Roman" w:cs="Times New Roman"/>
          <w:sz w:val="26"/>
          <w:szCs w:val="26"/>
        </w:rPr>
        <w:t>a</w:t>
      </w:r>
      <w:r>
        <w:rPr>
          <w:rFonts w:ascii="Times New Roman" w:eastAsia="Arial" w:hAnsi="Times New Roman" w:cs="Times New Roman"/>
          <w:sz w:val="26"/>
          <w:szCs w:val="26"/>
        </w:rPr>
        <w:t>t 1362 (“The causation link of §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is direct. The plaintiff must be injured by the defendant’s pattern of racketeering activity, that was used to either acquire or maintain any interest in or control of, any enterprise. Accordingly, the plaintiff must be injured by the pattern of racketeering activity committed by the defendant.”); </w:t>
      </w:r>
      <w:r>
        <w:rPr>
          <w:rFonts w:ascii="Times New Roman" w:eastAsia="Arial" w:hAnsi="Times New Roman" w:cs="Times New Roman"/>
          <w:i/>
          <w:sz w:val="26"/>
          <w:szCs w:val="26"/>
        </w:rPr>
        <w:t>Marshall v. City of Atlanta (In re Air Terminal Enters.)</w:t>
      </w:r>
      <w:r>
        <w:rPr>
          <w:rFonts w:ascii="Times New Roman" w:eastAsia="Arial" w:hAnsi="Times New Roman" w:cs="Times New Roman"/>
          <w:sz w:val="26"/>
          <w:szCs w:val="26"/>
        </w:rPr>
        <w:t>, 1995 Bankr. LEXIS 1248, at *18 (Bankr. N.D. Ga. June 20, 1995) (“Unlike Section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a claim may be made under Section 1962(b) by alleging that the injury occurred as a result of the pattern or racketeering activity that was used to acquire an interest in or control of such an enterprise, as opposed to the acquisition itself.”).</w:t>
      </w:r>
    </w:p>
    <w:p w:rsidR="00725167" w:rsidRPr="006E19CC" w:rsidRDefault="00854FFE" w:rsidP="006A5E2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majority position in other jurisdictions accords with the conclusion that an “acquisition injury” is required. </w:t>
      </w:r>
      <w:r>
        <w:rPr>
          <w:rFonts w:ascii="Times New Roman" w:eastAsia="Arial" w:hAnsi="Times New Roman" w:cs="Times New Roman"/>
          <w:i/>
          <w:sz w:val="26"/>
          <w:szCs w:val="26"/>
        </w:rPr>
        <w:t>See, e.g., Advocacy Org. for Patients &amp; Providers v. Auto Club Ins. Ass’n</w:t>
      </w:r>
      <w:r>
        <w:rPr>
          <w:rFonts w:ascii="Times New Roman" w:eastAsia="Arial" w:hAnsi="Times New Roman" w:cs="Times New Roman"/>
          <w:sz w:val="26"/>
          <w:szCs w:val="26"/>
        </w:rPr>
        <w:t>, 176 F.3d 315, 330 (6</w:t>
      </w:r>
      <w:r w:rsidRPr="00823B0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1999) (“[I]njury from the racketeering acts themselves is not sufficient; rather, a plaintiff must plead facts tending to show that the acquisition or control of an interest injured plaintiff.”); </w:t>
      </w:r>
      <w:r>
        <w:rPr>
          <w:rFonts w:ascii="Times New Roman" w:eastAsia="Arial" w:hAnsi="Times New Roman" w:cs="Times New Roman"/>
          <w:i/>
          <w:sz w:val="26"/>
          <w:szCs w:val="26"/>
        </w:rPr>
        <w:t>Discon, Inc. v. NYNEX Corp.</w:t>
      </w:r>
      <w:r>
        <w:rPr>
          <w:rFonts w:ascii="Times New Roman" w:eastAsia="Arial" w:hAnsi="Times New Roman" w:cs="Times New Roman"/>
          <w:sz w:val="26"/>
          <w:szCs w:val="26"/>
        </w:rPr>
        <w:t>, 93 F.3d 1055, 1062-63 (2</w:t>
      </w:r>
      <w:r w:rsidRPr="00823B01">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Cir. 1996) </w:t>
      </w:r>
      <w:r>
        <w:rPr>
          <w:rFonts w:ascii="Times New Roman" w:eastAsia="Arial" w:hAnsi="Times New Roman" w:cs="Times New Roman"/>
          <w:i/>
          <w:sz w:val="26"/>
          <w:szCs w:val="26"/>
        </w:rPr>
        <w:t>rev’d on other grounds</w:t>
      </w:r>
      <w:r>
        <w:rPr>
          <w:rFonts w:ascii="Times New Roman" w:eastAsia="Arial" w:hAnsi="Times New Roman" w:cs="Times New Roman"/>
          <w:sz w:val="26"/>
          <w:szCs w:val="26"/>
        </w:rPr>
        <w:t xml:space="preserve">, 525 U.S. 128 (1998); </w:t>
      </w:r>
      <w:r>
        <w:rPr>
          <w:rFonts w:ascii="Times New Roman" w:eastAsia="Arial" w:hAnsi="Times New Roman" w:cs="Times New Roman"/>
          <w:i/>
          <w:sz w:val="26"/>
          <w:szCs w:val="26"/>
        </w:rPr>
        <w:t>Compagnie De Reassurance D’Ile De Fr. v. New Eng. Reinsurance Corp.</w:t>
      </w:r>
      <w:r>
        <w:rPr>
          <w:rFonts w:ascii="Times New Roman" w:eastAsia="Arial" w:hAnsi="Times New Roman" w:cs="Times New Roman"/>
          <w:sz w:val="26"/>
          <w:szCs w:val="26"/>
        </w:rPr>
        <w:t>, 57 F.3d 56, 92 (1</w:t>
      </w:r>
      <w:r w:rsidRPr="00823B01">
        <w:rPr>
          <w:rFonts w:ascii="Times New Roman" w:eastAsia="Arial" w:hAnsi="Times New Roman" w:cs="Times New Roman"/>
          <w:sz w:val="26"/>
          <w:szCs w:val="26"/>
          <w:vertAlign w:val="superscript"/>
        </w:rPr>
        <w:t>st</w:t>
      </w:r>
      <w:r>
        <w:rPr>
          <w:rFonts w:ascii="Times New Roman" w:eastAsia="Arial" w:hAnsi="Times New Roman" w:cs="Times New Roman"/>
          <w:sz w:val="26"/>
          <w:szCs w:val="26"/>
        </w:rPr>
        <w:t xml:space="preserve"> Cir. 1995); </w:t>
      </w:r>
      <w:r>
        <w:rPr>
          <w:rFonts w:ascii="Times New Roman" w:eastAsia="Arial" w:hAnsi="Times New Roman" w:cs="Times New Roman"/>
          <w:i/>
          <w:sz w:val="26"/>
          <w:szCs w:val="26"/>
        </w:rPr>
        <w:t xml:space="preserve">Old Time Enters. </w:t>
      </w:r>
      <w:r w:rsidR="00AF4B2C">
        <w:rPr>
          <w:rFonts w:ascii="Times New Roman" w:eastAsia="Arial" w:hAnsi="Times New Roman" w:cs="Times New Roman"/>
          <w:i/>
          <w:sz w:val="26"/>
          <w:szCs w:val="26"/>
        </w:rPr>
        <w:t>V</w:t>
      </w:r>
      <w:r>
        <w:rPr>
          <w:rFonts w:ascii="Times New Roman" w:eastAsia="Arial" w:hAnsi="Times New Roman" w:cs="Times New Roman"/>
          <w:i/>
          <w:sz w:val="26"/>
          <w:szCs w:val="26"/>
        </w:rPr>
        <w:t>. Int’l Coffee Corp.</w:t>
      </w:r>
      <w:r>
        <w:rPr>
          <w:rFonts w:ascii="Times New Roman" w:eastAsia="Arial" w:hAnsi="Times New Roman" w:cs="Times New Roman"/>
          <w:sz w:val="26"/>
          <w:szCs w:val="26"/>
        </w:rPr>
        <w:t>, 862 F.2d 1213, 1218 (5</w:t>
      </w:r>
      <w:r w:rsidRPr="00823B0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1989); </w:t>
      </w:r>
      <w:r>
        <w:rPr>
          <w:rFonts w:ascii="Times New Roman" w:eastAsia="Arial" w:hAnsi="Times New Roman" w:cs="Times New Roman"/>
          <w:i/>
          <w:sz w:val="26"/>
          <w:szCs w:val="26"/>
        </w:rPr>
        <w:t>In re Nat’l Western Life Ins. Deferred Annuities Litig.</w:t>
      </w:r>
      <w:r>
        <w:rPr>
          <w:rFonts w:ascii="Times New Roman" w:eastAsia="Arial" w:hAnsi="Times New Roman" w:cs="Times New Roman"/>
          <w:sz w:val="26"/>
          <w:szCs w:val="26"/>
        </w:rPr>
        <w:t xml:space="preserve">, 467 F. Supp. 2d 1071, 1084 (S.D. Cal. 2006); </w:t>
      </w:r>
      <w:r>
        <w:rPr>
          <w:rFonts w:ascii="Times New Roman" w:eastAsia="Arial" w:hAnsi="Times New Roman" w:cs="Times New Roman"/>
          <w:i/>
          <w:sz w:val="26"/>
          <w:szCs w:val="26"/>
        </w:rPr>
        <w:t>NL Industries, Inc. v. Gulf &amp; Western Industries, Inc.</w:t>
      </w:r>
      <w:r>
        <w:rPr>
          <w:rFonts w:ascii="Times New Roman" w:eastAsia="Arial" w:hAnsi="Times New Roman" w:cs="Times New Roman"/>
          <w:sz w:val="26"/>
          <w:szCs w:val="26"/>
        </w:rPr>
        <w:t>, 650 F. Supp. 1115, 1127-28 (D. Kan. 1986).</w:t>
      </w:r>
      <w:bookmarkEnd w:id="0"/>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50" w:rsidRDefault="00555950" w:rsidP="00555950">
      <w:pPr>
        <w:spacing w:after="0" w:line="240" w:lineRule="auto"/>
      </w:pPr>
      <w:r>
        <w:separator/>
      </w:r>
    </w:p>
  </w:endnote>
  <w:endnote w:type="continuationSeparator" w:id="0">
    <w:p w:rsidR="00555950" w:rsidRDefault="00555950" w:rsidP="0055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50" w:rsidRDefault="00555950" w:rsidP="00555950">
      <w:pPr>
        <w:spacing w:after="0" w:line="240" w:lineRule="auto"/>
      </w:pPr>
      <w:r>
        <w:separator/>
      </w:r>
    </w:p>
  </w:footnote>
  <w:footnote w:type="continuationSeparator" w:id="0">
    <w:p w:rsidR="00555950" w:rsidRDefault="00555950" w:rsidP="00555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12451E"/>
    <w:rsid w:val="001D6207"/>
    <w:rsid w:val="001E02CA"/>
    <w:rsid w:val="001E531F"/>
    <w:rsid w:val="00240B28"/>
    <w:rsid w:val="002840A9"/>
    <w:rsid w:val="002B67EE"/>
    <w:rsid w:val="003C6FF2"/>
    <w:rsid w:val="00427B27"/>
    <w:rsid w:val="00555950"/>
    <w:rsid w:val="005819CC"/>
    <w:rsid w:val="00695E01"/>
    <w:rsid w:val="006A5E2B"/>
    <w:rsid w:val="006E19CC"/>
    <w:rsid w:val="00703AA4"/>
    <w:rsid w:val="00725167"/>
    <w:rsid w:val="0076151A"/>
    <w:rsid w:val="007B150F"/>
    <w:rsid w:val="007B74C2"/>
    <w:rsid w:val="007D42A6"/>
    <w:rsid w:val="0081575C"/>
    <w:rsid w:val="00854FFE"/>
    <w:rsid w:val="0089546D"/>
    <w:rsid w:val="008A602D"/>
    <w:rsid w:val="008B5673"/>
    <w:rsid w:val="00927349"/>
    <w:rsid w:val="009A03FE"/>
    <w:rsid w:val="00A32720"/>
    <w:rsid w:val="00A45395"/>
    <w:rsid w:val="00AD447F"/>
    <w:rsid w:val="00AF4B2C"/>
    <w:rsid w:val="00BA403B"/>
    <w:rsid w:val="00BA604B"/>
    <w:rsid w:val="00C473BC"/>
    <w:rsid w:val="00DC18AE"/>
    <w:rsid w:val="00DD3EED"/>
    <w:rsid w:val="00E14061"/>
    <w:rsid w:val="00E33549"/>
    <w:rsid w:val="00E60CBF"/>
    <w:rsid w:val="00E7659F"/>
    <w:rsid w:val="00E83270"/>
    <w:rsid w:val="00EB2AAC"/>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55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50"/>
  </w:style>
  <w:style w:type="paragraph" w:styleId="Footer">
    <w:name w:val="footer"/>
    <w:basedOn w:val="Normal"/>
    <w:link w:val="FooterChar"/>
    <w:uiPriority w:val="99"/>
    <w:unhideWhenUsed/>
    <w:rsid w:val="0055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55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50"/>
  </w:style>
  <w:style w:type="paragraph" w:styleId="Footer">
    <w:name w:val="footer"/>
    <w:basedOn w:val="Normal"/>
    <w:link w:val="FooterChar"/>
    <w:uiPriority w:val="99"/>
    <w:unhideWhenUsed/>
    <w:rsid w:val="0055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1983</Words>
  <Characters>11307</Characters>
  <Application>Microsoft Office Word</Application>
  <DocSecurity>0</DocSecurity>
  <Lines>94</Lines>
  <Paragraphs>26</Paragraphs>
  <ScaleCrop>false</ScaleCrop>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2014-04-30T00:53:00Z</dcterms:created>
  <dcterms:modified xsi:type="dcterms:W3CDTF">2014-06-20T23:10:00Z</dcterms:modified>
</cp:coreProperties>
</file>