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5E" w:rsidRDefault="00C4295E" w:rsidP="00C4295E">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5.6 Civil Rights</w:t>
      </w:r>
      <w:r w:rsidR="00DD5836">
        <w:rPr>
          <w:rFonts w:ascii="Times New Roman" w:eastAsia="Arial" w:hAnsi="Times New Roman"/>
          <w:b/>
          <w:sz w:val="28"/>
          <w:szCs w:val="28"/>
        </w:rPr>
        <w:t xml:space="preserve"> </w:t>
      </w:r>
      <w:r>
        <w:rPr>
          <w:rFonts w:ascii="Times New Roman" w:eastAsia="Arial" w:hAnsi="Times New Roman"/>
          <w:b/>
          <w:sz w:val="28"/>
          <w:szCs w:val="28"/>
        </w:rPr>
        <w:t>– 42 U.S.C. § 1983 Claims – Government Entity Liability</w:t>
      </w:r>
    </w:p>
    <w:p w:rsidR="00C4295E" w:rsidRDefault="00C4295E" w:rsidP="000B0365">
      <w:pPr>
        <w:spacing w:after="0" w:line="480" w:lineRule="auto"/>
        <w:ind w:left="446"/>
        <w:jc w:val="both"/>
        <w:rPr>
          <w:rFonts w:ascii="Times New Roman" w:eastAsia="Arial" w:hAnsi="Times New Roman"/>
          <w:b/>
          <w:sz w:val="28"/>
          <w:szCs w:val="28"/>
        </w:rPr>
      </w:pPr>
      <w:r>
        <w:rPr>
          <w:rFonts w:ascii="Times New Roman" w:eastAsia="Arial" w:hAnsi="Times New Roman"/>
          <w:b/>
          <w:sz w:val="28"/>
          <w:szCs w:val="28"/>
        </w:rPr>
        <w:t>(Incorporate into Instructions for Claims against Individual Defendants)</w:t>
      </w:r>
    </w:p>
    <w:p w:rsidR="00C4295E" w:rsidRPr="00681690" w:rsidRDefault="00C4295E" w:rsidP="000B036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which employed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 is liable for violating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You should consider whether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is liable only if you find that [</w:t>
      </w:r>
      <w:r w:rsidRPr="00681690">
        <w:rPr>
          <w:rFonts w:ascii="Times New Roman" w:eastAsia="Arial" w:hAnsi="Times New Roman" w:cs="Times New Roman"/>
          <w:sz w:val="28"/>
          <w:szCs w:val="28"/>
          <w:u w:val="single"/>
        </w:rPr>
        <w:t>name of</w:t>
      </w:r>
      <w:bookmarkStart w:id="0" w:name="_GoBack"/>
      <w:bookmarkEnd w:id="0"/>
      <w:r w:rsidRPr="00681690">
        <w:rPr>
          <w:rFonts w:ascii="Times New Roman" w:eastAsia="Arial" w:hAnsi="Times New Roman" w:cs="Times New Roman"/>
          <w:sz w:val="28"/>
          <w:szCs w:val="28"/>
          <w:u w:val="single"/>
        </w:rPr>
        <w:t xml:space="preserve"> officer</w:t>
      </w:r>
      <w:r w:rsidRPr="00681690">
        <w:rPr>
          <w:rFonts w:ascii="Times New Roman" w:eastAsia="Arial" w:hAnsi="Times New Roman" w:cs="Times New Roman"/>
          <w:sz w:val="28"/>
          <w:szCs w:val="28"/>
        </w:rPr>
        <w:t>]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w:t>
      </w:r>
    </w:p>
    <w:p w:rsidR="00C4295E" w:rsidRPr="00681690" w:rsidRDefault="00C4295E" w:rsidP="000B036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is not liable for violating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simply because it employed [</w:t>
      </w:r>
      <w:r w:rsidRPr="00681690">
        <w:rPr>
          <w:rFonts w:ascii="Times New Roman" w:eastAsia="Arial" w:hAnsi="Times New Roman" w:cs="Times New Roman"/>
          <w:sz w:val="28"/>
          <w:szCs w:val="28"/>
          <w:u w:val="single"/>
        </w:rPr>
        <w:t>name of officer</w:t>
      </w:r>
      <w:r w:rsidRPr="00681690">
        <w:rPr>
          <w:rFonts w:ascii="Times New Roman" w:eastAsia="Arial" w:hAnsi="Times New Roman" w:cs="Times New Roman"/>
          <w:sz w:val="28"/>
          <w:szCs w:val="28"/>
        </w:rPr>
        <w:t>]. Rather</w:t>
      </w:r>
      <w:r w:rsidR="00DD5836">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is liable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proves that an official policy or custom of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directly caused [his/her] injuries. Put another way,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is liable if its official policy or custom was the moving force behind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injuries.</w:t>
      </w:r>
    </w:p>
    <w:p w:rsidR="00C4295E" w:rsidRPr="00681690" w:rsidRDefault="00C4295E" w:rsidP="000B036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“official policy or custom” means</w:t>
      </w:r>
      <w:r w:rsidR="00DD5836">
        <w:rPr>
          <w:rFonts w:ascii="Times New Roman" w:eastAsia="Arial" w:hAnsi="Times New Roman" w:cs="Times New Roman"/>
          <w:sz w:val="28"/>
          <w:szCs w:val="28"/>
        </w:rPr>
        <w:t>:</w:t>
      </w:r>
    </w:p>
    <w:p w:rsidR="00C4295E" w:rsidRPr="00681690" w:rsidRDefault="00C4295E" w:rsidP="000B036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rule or regulation created, adopted, or ratified by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 or</w:t>
      </w:r>
    </w:p>
    <w:p w:rsidR="00C4295E" w:rsidRPr="00681690" w:rsidRDefault="00C4295E" w:rsidP="000B036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policy statement or decision made by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]’s policy-maker; or</w:t>
      </w:r>
    </w:p>
    <w:p w:rsidR="00C4295E" w:rsidRPr="00681690" w:rsidRDefault="00C4295E" w:rsidP="000B0365">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practice or course of conduct that is so widespread that it has acquired the force of law – even if the practice has not been formally approved.</w:t>
      </w:r>
    </w:p>
    <w:p w:rsidR="00C4295E" w:rsidRPr="00681690" w:rsidRDefault="00C4295E" w:rsidP="00C4295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may find that an “official policy or custom” existed if there was a practice that was so persistent, widespread, or repetitious that the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government entity</w:t>
      </w:r>
      <w:r w:rsidRPr="00681690">
        <w:rPr>
          <w:rFonts w:ascii="Times New Roman" w:eastAsia="Arial" w:hAnsi="Times New Roman" w:cs="Times New Roman"/>
          <w:sz w:val="28"/>
          <w:szCs w:val="28"/>
        </w:rPr>
        <w:t>]’s policy-maker either knew of it or should have known of it.</w:t>
      </w:r>
    </w:p>
    <w:p w:rsidR="00C4295E" w:rsidRPr="00681690" w:rsidRDefault="00C4295E" w:rsidP="00C4295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policy-maker</w:t>
      </w:r>
      <w:r w:rsidRPr="00681690">
        <w:rPr>
          <w:rFonts w:ascii="Times New Roman" w:eastAsia="Arial" w:hAnsi="Times New Roman" w:cs="Times New Roman"/>
          <w:sz w:val="28"/>
          <w:szCs w:val="28"/>
        </w:rPr>
        <w:t>] is the [</w:t>
      </w:r>
      <w:r w:rsidRPr="00681690">
        <w:rPr>
          <w:rFonts w:ascii="Times New Roman" w:eastAsia="Arial" w:hAnsi="Times New Roman" w:cs="Times New Roman"/>
          <w:sz w:val="28"/>
          <w:szCs w:val="28"/>
          <w:u w:val="single"/>
        </w:rPr>
        <w:t>name of government entity</w:t>
      </w:r>
      <w:r w:rsidRPr="00681690">
        <w:rPr>
          <w:rFonts w:ascii="Times New Roman" w:eastAsia="Arial" w:hAnsi="Times New Roman" w:cs="Times New Roman"/>
          <w:sz w:val="28"/>
          <w:szCs w:val="28"/>
        </w:rPr>
        <w:t>]’s “policy-maker.”</w:t>
      </w:r>
    </w:p>
    <w:p w:rsidR="00725167" w:rsidRPr="00C4295E" w:rsidRDefault="00C4295E" w:rsidP="00C4295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p>
    <w:sectPr w:rsidR="00725167" w:rsidRPr="00C4295E" w:rsidSect="00892CB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6B" w:rsidRDefault="0026106B" w:rsidP="0026106B">
      <w:pPr>
        <w:spacing w:after="0" w:line="240" w:lineRule="auto"/>
      </w:pPr>
      <w:r>
        <w:separator/>
      </w:r>
    </w:p>
  </w:endnote>
  <w:endnote w:type="continuationSeparator" w:id="0">
    <w:p w:rsidR="0026106B" w:rsidRDefault="0026106B" w:rsidP="0026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6B" w:rsidRDefault="0026106B" w:rsidP="0026106B">
      <w:pPr>
        <w:spacing w:after="0" w:line="240" w:lineRule="auto"/>
      </w:pPr>
      <w:r>
        <w:separator/>
      </w:r>
    </w:p>
  </w:footnote>
  <w:footnote w:type="continuationSeparator" w:id="0">
    <w:p w:rsidR="0026106B" w:rsidRDefault="0026106B" w:rsidP="0026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0B0365"/>
    <w:rsid w:val="001D1C8B"/>
    <w:rsid w:val="0024704F"/>
    <w:rsid w:val="0026106B"/>
    <w:rsid w:val="004441EE"/>
    <w:rsid w:val="004A301A"/>
    <w:rsid w:val="00620C71"/>
    <w:rsid w:val="006A2BE2"/>
    <w:rsid w:val="006B2CC1"/>
    <w:rsid w:val="00725167"/>
    <w:rsid w:val="0081575C"/>
    <w:rsid w:val="00892CB3"/>
    <w:rsid w:val="00B966EE"/>
    <w:rsid w:val="00C4295E"/>
    <w:rsid w:val="00CD564C"/>
    <w:rsid w:val="00DC18AE"/>
    <w:rsid w:val="00DD5836"/>
    <w:rsid w:val="00E70797"/>
    <w:rsid w:val="00EC462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26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6B"/>
  </w:style>
  <w:style w:type="paragraph" w:styleId="Footer">
    <w:name w:val="footer"/>
    <w:basedOn w:val="Normal"/>
    <w:link w:val="FooterChar"/>
    <w:uiPriority w:val="99"/>
    <w:unhideWhenUsed/>
    <w:rsid w:val="0026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26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6B"/>
  </w:style>
  <w:style w:type="paragraph" w:styleId="Footer">
    <w:name w:val="footer"/>
    <w:basedOn w:val="Normal"/>
    <w:link w:val="FooterChar"/>
    <w:uiPriority w:val="99"/>
    <w:unhideWhenUsed/>
    <w:rsid w:val="0026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2014-06-09T17:17:00Z</dcterms:created>
  <dcterms:modified xsi:type="dcterms:W3CDTF">2014-06-21T00:27:00Z</dcterms:modified>
</cp:coreProperties>
</file>