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2CBD" w14:textId="0417D218" w:rsidR="00FB6732" w:rsidRPr="00F66DDA" w:rsidRDefault="00FB6732" w:rsidP="00F66DDA">
      <w:pPr>
        <w:autoSpaceDE w:val="0"/>
        <w:autoSpaceDN w:val="0"/>
        <w:spacing w:after="200"/>
        <w:jc w:val="both"/>
        <w:rPr>
          <w:rFonts w:ascii="Times New Roman" w:hAnsi="Times New Roman" w:cs="Times New Roman"/>
          <w:b/>
          <w:bCs/>
          <w:sz w:val="26"/>
          <w:szCs w:val="26"/>
          <w:u w:val="single"/>
        </w:rPr>
      </w:pPr>
      <w:r w:rsidRPr="00F66DDA">
        <w:rPr>
          <w:rFonts w:ascii="Times New Roman" w:hAnsi="Times New Roman" w:cs="Times New Roman"/>
          <w:b/>
          <w:bCs/>
          <w:sz w:val="26"/>
          <w:szCs w:val="26"/>
          <w:u w:val="single"/>
        </w:rPr>
        <w:t>ANNOTATIONS AND COMMENTS</w:t>
      </w:r>
    </w:p>
    <w:p w14:paraId="643C62C1" w14:textId="20E38736" w:rsidR="00FB6732" w:rsidRPr="00F66DDA" w:rsidRDefault="00FB6732" w:rsidP="00F66DDA">
      <w:pPr>
        <w:autoSpaceDE w:val="0"/>
        <w:autoSpaceDN w:val="0"/>
        <w:spacing w:after="200"/>
        <w:jc w:val="both"/>
        <w:rPr>
          <w:rFonts w:ascii="Times New Roman" w:hAnsi="Times New Roman" w:cs="Times New Roman"/>
          <w:sz w:val="26"/>
          <w:szCs w:val="26"/>
        </w:rPr>
      </w:pPr>
      <w:r w:rsidRPr="00F66DDA">
        <w:rPr>
          <w:rFonts w:ascii="Times New Roman" w:hAnsi="Times New Roman" w:cs="Times New Roman"/>
          <w:sz w:val="26"/>
          <w:szCs w:val="26"/>
        </w:rPr>
        <w:t xml:space="preserve">42 U.S.C. § 1983 imposes liability on persons who cause deprivations of federal rights “under color of state law[.]” </w:t>
      </w:r>
      <w:r w:rsidRPr="00F66DDA">
        <w:rPr>
          <w:rFonts w:ascii="Times New Roman" w:hAnsi="Times New Roman" w:cs="Times New Roman"/>
          <w:i/>
          <w:iCs/>
          <w:sz w:val="26"/>
          <w:szCs w:val="26"/>
        </w:rPr>
        <w:t>Lugar v. Edmondson Oil Co.</w:t>
      </w:r>
      <w:r w:rsidRPr="00F66DDA">
        <w:rPr>
          <w:rFonts w:ascii="Times New Roman" w:hAnsi="Times New Roman" w:cs="Times New Roman"/>
          <w:sz w:val="26"/>
          <w:szCs w:val="26"/>
        </w:rPr>
        <w:t xml:space="preserve">, 457 U.S. 922, 924 (1982) (citing 42 U.S.C. § 1983). The statute’s “under color of law” requirement means “the same thing as the ‘state action’ required under the Fourteenth Amendment.” </w:t>
      </w:r>
      <w:r w:rsidRPr="00F66DDA">
        <w:rPr>
          <w:rFonts w:ascii="Times New Roman" w:hAnsi="Times New Roman" w:cs="Times New Roman"/>
          <w:i/>
          <w:iCs/>
          <w:sz w:val="26"/>
          <w:szCs w:val="26"/>
        </w:rPr>
        <w:t xml:space="preserve">Id. </w:t>
      </w:r>
      <w:r w:rsidRPr="00F66DDA">
        <w:rPr>
          <w:rFonts w:ascii="Times New Roman" w:hAnsi="Times New Roman" w:cs="Times New Roman"/>
          <w:sz w:val="26"/>
          <w:szCs w:val="26"/>
        </w:rPr>
        <w:t xml:space="preserve">at 928. Thus, the liability created by § 1983 “do[es] not apply to private parties unless those parties are engaged in activity deemed to be ‘state action.’” </w:t>
      </w:r>
      <w:proofErr w:type="spellStart"/>
      <w:r w:rsidRPr="00F66DDA">
        <w:rPr>
          <w:rFonts w:ascii="Times New Roman" w:hAnsi="Times New Roman" w:cs="Times New Roman"/>
          <w:i/>
          <w:iCs/>
          <w:sz w:val="26"/>
          <w:szCs w:val="26"/>
        </w:rPr>
        <w:t>Nat’l</w:t>
      </w:r>
      <w:proofErr w:type="spellEnd"/>
      <w:r w:rsidRPr="00F66DDA">
        <w:rPr>
          <w:rFonts w:ascii="Times New Roman" w:hAnsi="Times New Roman" w:cs="Times New Roman"/>
          <w:i/>
          <w:iCs/>
          <w:sz w:val="26"/>
          <w:szCs w:val="26"/>
        </w:rPr>
        <w:t xml:space="preserve"> Broad. Co. v. Commc’ns Workers of Am.</w:t>
      </w:r>
      <w:r w:rsidRPr="00F66DDA">
        <w:rPr>
          <w:rFonts w:ascii="Times New Roman" w:hAnsi="Times New Roman" w:cs="Times New Roman"/>
          <w:sz w:val="26"/>
          <w:szCs w:val="26"/>
        </w:rPr>
        <w:t>, 860 F.2d 1022, 1024 (11th Cir. 1988).</w:t>
      </w:r>
    </w:p>
    <w:p w14:paraId="161EFA1F" w14:textId="53C6E7B3" w:rsidR="00FB6732" w:rsidRPr="00F66DDA" w:rsidRDefault="00FB6732" w:rsidP="00F66DDA">
      <w:pPr>
        <w:autoSpaceDE w:val="0"/>
        <w:autoSpaceDN w:val="0"/>
        <w:spacing w:after="200"/>
        <w:jc w:val="both"/>
        <w:rPr>
          <w:rFonts w:ascii="Times New Roman" w:hAnsi="Times New Roman" w:cs="Times New Roman"/>
          <w:sz w:val="26"/>
          <w:szCs w:val="26"/>
        </w:rPr>
      </w:pPr>
      <w:r w:rsidRPr="00F66DDA">
        <w:rPr>
          <w:rFonts w:ascii="Times New Roman" w:hAnsi="Times New Roman" w:cs="Times New Roman"/>
          <w:sz w:val="26"/>
          <w:szCs w:val="26"/>
        </w:rPr>
        <w:t xml:space="preserve">The Eleventh Circuit has identified three tests to determine whether a private party’s conduct amounts to state action: “(1) the public function test; (2) the state compulsion test; and (3) the nexus/joint action test.” </w:t>
      </w:r>
      <w:r w:rsidRPr="00F66DDA">
        <w:rPr>
          <w:rFonts w:ascii="Times New Roman" w:hAnsi="Times New Roman" w:cs="Times New Roman"/>
          <w:i/>
          <w:iCs/>
          <w:sz w:val="26"/>
          <w:szCs w:val="26"/>
        </w:rPr>
        <w:t>Willis v. Univ. Health Servs.</w:t>
      </w:r>
      <w:r w:rsidRPr="00F66DDA">
        <w:rPr>
          <w:rFonts w:ascii="Times New Roman" w:hAnsi="Times New Roman" w:cs="Times New Roman"/>
          <w:sz w:val="26"/>
          <w:szCs w:val="26"/>
        </w:rPr>
        <w:t xml:space="preserve">, 993 F.2d 837, 840 (11th Cir. 1993) (citing </w:t>
      </w:r>
      <w:proofErr w:type="spellStart"/>
      <w:r w:rsidRPr="00F66DDA">
        <w:rPr>
          <w:rFonts w:ascii="Times New Roman" w:hAnsi="Times New Roman" w:cs="Times New Roman"/>
          <w:i/>
          <w:iCs/>
          <w:sz w:val="26"/>
          <w:szCs w:val="26"/>
        </w:rPr>
        <w:t>Nat’l</w:t>
      </w:r>
      <w:proofErr w:type="spellEnd"/>
      <w:r w:rsidRPr="00F66DDA">
        <w:rPr>
          <w:rFonts w:ascii="Times New Roman" w:hAnsi="Times New Roman" w:cs="Times New Roman"/>
          <w:i/>
          <w:iCs/>
          <w:sz w:val="26"/>
          <w:szCs w:val="26"/>
        </w:rPr>
        <w:t xml:space="preserve"> Broad. Co.</w:t>
      </w:r>
      <w:r w:rsidRPr="00F66DDA">
        <w:rPr>
          <w:rFonts w:ascii="Times New Roman" w:hAnsi="Times New Roman" w:cs="Times New Roman"/>
          <w:sz w:val="26"/>
          <w:szCs w:val="26"/>
        </w:rPr>
        <w:t>, 860 F.2d at 1026). This instruction addresses the nexus/joint action test.</w:t>
      </w:r>
    </w:p>
    <w:p w14:paraId="470B5F17" w14:textId="10B3AA01" w:rsidR="00FB6732" w:rsidRPr="00F66DDA" w:rsidRDefault="00FB6732" w:rsidP="00F66DDA">
      <w:pPr>
        <w:autoSpaceDE w:val="0"/>
        <w:autoSpaceDN w:val="0"/>
        <w:spacing w:after="200"/>
        <w:jc w:val="both"/>
        <w:rPr>
          <w:rFonts w:ascii="Times New Roman" w:hAnsi="Times New Roman" w:cs="Times New Roman"/>
          <w:sz w:val="26"/>
          <w:szCs w:val="26"/>
        </w:rPr>
      </w:pPr>
      <w:r w:rsidRPr="00F66DDA">
        <w:rPr>
          <w:rFonts w:ascii="Times New Roman" w:hAnsi="Times New Roman" w:cs="Times New Roman"/>
          <w:sz w:val="26"/>
          <w:szCs w:val="26"/>
        </w:rPr>
        <w:t xml:space="preserve">Under the “nexus/joint action test” for § 1983 liability, a plaintiff may establish that a private defendant acted under color of state law by showing (1) that the defendant “reached an understanding” with state officials to violate the plaintiff’s federal rights; and (2) that the defendants committed “an actionable wrong to support the conspiracy.” </w:t>
      </w:r>
      <w:proofErr w:type="spellStart"/>
      <w:r w:rsidRPr="00F66DDA">
        <w:rPr>
          <w:rFonts w:ascii="Times New Roman" w:hAnsi="Times New Roman" w:cs="Times New Roman"/>
          <w:i/>
          <w:iCs/>
          <w:sz w:val="26"/>
          <w:szCs w:val="26"/>
        </w:rPr>
        <w:t>Bendiburg</w:t>
      </w:r>
      <w:proofErr w:type="spellEnd"/>
      <w:r w:rsidRPr="00F66DDA">
        <w:rPr>
          <w:rFonts w:ascii="Times New Roman" w:hAnsi="Times New Roman" w:cs="Times New Roman"/>
          <w:i/>
          <w:iCs/>
          <w:sz w:val="26"/>
          <w:szCs w:val="26"/>
        </w:rPr>
        <w:t xml:space="preserve"> v. Dempsey</w:t>
      </w:r>
      <w:r w:rsidRPr="00F66DDA">
        <w:rPr>
          <w:rFonts w:ascii="Times New Roman" w:hAnsi="Times New Roman" w:cs="Times New Roman"/>
          <w:sz w:val="26"/>
          <w:szCs w:val="26"/>
        </w:rPr>
        <w:t xml:space="preserve">, 909 F.2d 463, 468 (11th Cir. 1990) (quoting </w:t>
      </w:r>
      <w:r w:rsidRPr="00F66DDA">
        <w:rPr>
          <w:rFonts w:ascii="Times New Roman" w:hAnsi="Times New Roman" w:cs="Times New Roman"/>
          <w:i/>
          <w:iCs/>
          <w:sz w:val="26"/>
          <w:szCs w:val="26"/>
        </w:rPr>
        <w:t>N.A.A.C.P. v.</w:t>
      </w:r>
      <w:r w:rsidRPr="00F66DDA">
        <w:rPr>
          <w:rFonts w:ascii="Times New Roman" w:hAnsi="Times New Roman" w:cs="Times New Roman"/>
          <w:sz w:val="26"/>
          <w:szCs w:val="26"/>
        </w:rPr>
        <w:t xml:space="preserve"> </w:t>
      </w:r>
      <w:r w:rsidRPr="00F66DDA">
        <w:rPr>
          <w:rFonts w:ascii="Times New Roman" w:hAnsi="Times New Roman" w:cs="Times New Roman"/>
          <w:i/>
          <w:iCs/>
          <w:sz w:val="26"/>
          <w:szCs w:val="26"/>
        </w:rPr>
        <w:t>Hunt</w:t>
      </w:r>
      <w:r w:rsidRPr="00F66DDA">
        <w:rPr>
          <w:rFonts w:ascii="Times New Roman" w:hAnsi="Times New Roman" w:cs="Times New Roman"/>
          <w:sz w:val="26"/>
          <w:szCs w:val="26"/>
        </w:rPr>
        <w:t>,</w:t>
      </w:r>
      <w:r w:rsidRPr="00F66DDA">
        <w:rPr>
          <w:rFonts w:ascii="Times New Roman" w:hAnsi="Times New Roman" w:cs="Times New Roman"/>
          <w:i/>
          <w:iCs/>
          <w:sz w:val="26"/>
          <w:szCs w:val="26"/>
        </w:rPr>
        <w:t xml:space="preserve"> </w:t>
      </w:r>
      <w:r w:rsidRPr="00F66DDA">
        <w:rPr>
          <w:rFonts w:ascii="Times New Roman" w:hAnsi="Times New Roman" w:cs="Times New Roman"/>
          <w:sz w:val="26"/>
          <w:szCs w:val="26"/>
        </w:rPr>
        <w:t>891 F.2d 1555, 1563 (11th Cir. 1990)).</w:t>
      </w:r>
    </w:p>
    <w:p w14:paraId="693044A5" w14:textId="578D9206" w:rsidR="00FB6732" w:rsidRPr="00F66DDA" w:rsidRDefault="00FB6732" w:rsidP="00F66DDA">
      <w:pPr>
        <w:autoSpaceDE w:val="0"/>
        <w:autoSpaceDN w:val="0"/>
        <w:spacing w:after="200"/>
        <w:jc w:val="both"/>
        <w:rPr>
          <w:rFonts w:ascii="Times New Roman" w:hAnsi="Times New Roman" w:cs="Times New Roman"/>
          <w:sz w:val="26"/>
          <w:szCs w:val="26"/>
        </w:rPr>
      </w:pPr>
      <w:r w:rsidRPr="00F66DDA">
        <w:rPr>
          <w:rFonts w:ascii="Times New Roman" w:hAnsi="Times New Roman" w:cs="Times New Roman"/>
          <w:sz w:val="26"/>
          <w:szCs w:val="26"/>
        </w:rPr>
        <w:t xml:space="preserve">Evidence of an understanding and willful participation is essential to succeeding on a conspiracy-focused theory of state action. “The plaintiff does not have to produce a ‘smoking gun’ to establish the ‘understanding’ or ‘willful participation’ required to show a </w:t>
      </w:r>
      <w:proofErr w:type="gramStart"/>
      <w:r w:rsidRPr="00F66DDA">
        <w:rPr>
          <w:rFonts w:ascii="Times New Roman" w:hAnsi="Times New Roman" w:cs="Times New Roman"/>
          <w:sz w:val="26"/>
          <w:szCs w:val="26"/>
        </w:rPr>
        <w:t>conspiracy, but</w:t>
      </w:r>
      <w:proofErr w:type="gramEnd"/>
      <w:r w:rsidRPr="00F66DDA">
        <w:rPr>
          <w:rFonts w:ascii="Times New Roman" w:hAnsi="Times New Roman" w:cs="Times New Roman"/>
          <w:sz w:val="26"/>
          <w:szCs w:val="26"/>
        </w:rPr>
        <w:t xml:space="preserve"> must show some evidence of agreement between [a private party and state actor].” </w:t>
      </w:r>
      <w:r w:rsidRPr="00F66DDA">
        <w:rPr>
          <w:rFonts w:ascii="Times New Roman" w:hAnsi="Times New Roman" w:cs="Times New Roman"/>
          <w:i/>
          <w:iCs/>
          <w:sz w:val="26"/>
          <w:szCs w:val="26"/>
        </w:rPr>
        <w:t>Rowe v. City of</w:t>
      </w:r>
      <w:r w:rsidRPr="00F66DDA">
        <w:rPr>
          <w:rFonts w:ascii="Times New Roman" w:hAnsi="Times New Roman" w:cs="Times New Roman"/>
          <w:sz w:val="26"/>
          <w:szCs w:val="26"/>
        </w:rPr>
        <w:t xml:space="preserve"> </w:t>
      </w:r>
      <w:r w:rsidRPr="00F66DDA">
        <w:rPr>
          <w:rFonts w:ascii="Times New Roman" w:hAnsi="Times New Roman" w:cs="Times New Roman"/>
          <w:i/>
          <w:iCs/>
          <w:sz w:val="26"/>
          <w:szCs w:val="26"/>
        </w:rPr>
        <w:t>Fort Lauderdale</w:t>
      </w:r>
      <w:r w:rsidRPr="00F66DDA">
        <w:rPr>
          <w:rFonts w:ascii="Times New Roman" w:hAnsi="Times New Roman" w:cs="Times New Roman"/>
          <w:sz w:val="26"/>
          <w:szCs w:val="26"/>
        </w:rPr>
        <w:t xml:space="preserve">, 279 F.3d 1271, 1283–84 (11th Cir. 2002) (citations omitted). A conspiracy between state and private actors is a common but not necessary way to succeed on a § 1983 claim proceeding under a nexus/joint action theory.  </w:t>
      </w:r>
      <w:r w:rsidRPr="00F66DDA">
        <w:rPr>
          <w:rFonts w:ascii="Times New Roman" w:hAnsi="Times New Roman" w:cs="Times New Roman"/>
          <w:i/>
          <w:iCs/>
          <w:sz w:val="26"/>
          <w:szCs w:val="26"/>
        </w:rPr>
        <w:t>See</w:t>
      </w:r>
      <w:r w:rsidRPr="00F66DDA">
        <w:rPr>
          <w:rFonts w:ascii="Times New Roman" w:hAnsi="Times New Roman" w:cs="Times New Roman"/>
          <w:sz w:val="26"/>
          <w:szCs w:val="26"/>
        </w:rPr>
        <w:t xml:space="preserve"> </w:t>
      </w:r>
      <w:r w:rsidRPr="00F66DDA">
        <w:rPr>
          <w:rFonts w:ascii="Times New Roman" w:hAnsi="Times New Roman" w:cs="Times New Roman"/>
          <w:i/>
          <w:iCs/>
          <w:sz w:val="26"/>
          <w:szCs w:val="26"/>
        </w:rPr>
        <w:t xml:space="preserve">Bailey v. Bd. of </w:t>
      </w:r>
      <w:proofErr w:type="spellStart"/>
      <w:r w:rsidRPr="00F66DDA">
        <w:rPr>
          <w:rFonts w:ascii="Times New Roman" w:hAnsi="Times New Roman" w:cs="Times New Roman"/>
          <w:i/>
          <w:iCs/>
          <w:sz w:val="26"/>
          <w:szCs w:val="26"/>
        </w:rPr>
        <w:t>Cnty</w:t>
      </w:r>
      <w:proofErr w:type="spellEnd"/>
      <w:r w:rsidRPr="00F66DDA">
        <w:rPr>
          <w:rFonts w:ascii="Times New Roman" w:hAnsi="Times New Roman" w:cs="Times New Roman"/>
          <w:i/>
          <w:iCs/>
          <w:sz w:val="26"/>
          <w:szCs w:val="26"/>
        </w:rPr>
        <w:t xml:space="preserve">. Comm’rs of Alachua </w:t>
      </w:r>
      <w:proofErr w:type="spellStart"/>
      <w:r w:rsidRPr="00F66DDA">
        <w:rPr>
          <w:rFonts w:ascii="Times New Roman" w:hAnsi="Times New Roman" w:cs="Times New Roman"/>
          <w:i/>
          <w:iCs/>
          <w:sz w:val="26"/>
          <w:szCs w:val="26"/>
        </w:rPr>
        <w:t>Cnty</w:t>
      </w:r>
      <w:proofErr w:type="spellEnd"/>
      <w:r w:rsidRPr="00F66DDA">
        <w:rPr>
          <w:rFonts w:ascii="Times New Roman" w:hAnsi="Times New Roman" w:cs="Times New Roman"/>
          <w:i/>
          <w:iCs/>
          <w:sz w:val="26"/>
          <w:szCs w:val="26"/>
        </w:rPr>
        <w:t>.</w:t>
      </w:r>
      <w:r w:rsidRPr="00F66DDA">
        <w:rPr>
          <w:rFonts w:ascii="Times New Roman" w:hAnsi="Times New Roman" w:cs="Times New Roman"/>
          <w:sz w:val="26"/>
          <w:szCs w:val="26"/>
        </w:rPr>
        <w:t xml:space="preserve">, 956 F.2d 1112, 1122 (11th Cir. 1992) (“[T]he linchpin for conspiracy is agreement, which presupposes communication[.]”). Producing evidence of conspiracy requires evidence that the alleged parties to the agreement were aware of the agreement. </w:t>
      </w:r>
      <w:r w:rsidRPr="00F66DDA">
        <w:rPr>
          <w:rFonts w:ascii="Times New Roman" w:hAnsi="Times New Roman" w:cs="Times New Roman"/>
          <w:i/>
          <w:iCs/>
          <w:sz w:val="26"/>
          <w:szCs w:val="26"/>
        </w:rPr>
        <w:t>See Rowe</w:t>
      </w:r>
      <w:r w:rsidRPr="00F66DDA">
        <w:rPr>
          <w:rFonts w:ascii="Times New Roman" w:hAnsi="Times New Roman" w:cs="Times New Roman"/>
          <w:sz w:val="26"/>
          <w:szCs w:val="26"/>
        </w:rPr>
        <w:t xml:space="preserve">, 279 F.3d at 1285 (“Rowe’s evidence would not allow a reasonable jury to find that Doss was aware of a conspiracy, much less that she agreed to participate in one.”).  Other examples of sufficient “state action” by an otherwise private actor include when the state “make[s] an active choice to partner with a private entity in a way that can impart liability” and when a private actor “take[s] up the mantle of sovereignty through the </w:t>
      </w:r>
      <w:r w:rsidRPr="00F66DDA">
        <w:rPr>
          <w:rFonts w:ascii="Times New Roman" w:hAnsi="Times New Roman" w:cs="Times New Roman"/>
          <w:i/>
          <w:iCs/>
          <w:sz w:val="26"/>
          <w:szCs w:val="26"/>
        </w:rPr>
        <w:t xml:space="preserve">ex </w:t>
      </w:r>
      <w:proofErr w:type="spellStart"/>
      <w:r w:rsidRPr="00F66DDA">
        <w:rPr>
          <w:rFonts w:ascii="Times New Roman" w:hAnsi="Times New Roman" w:cs="Times New Roman"/>
          <w:i/>
          <w:iCs/>
          <w:sz w:val="26"/>
          <w:szCs w:val="26"/>
        </w:rPr>
        <w:t>parte</w:t>
      </w:r>
      <w:proofErr w:type="spellEnd"/>
      <w:r w:rsidRPr="00F66DDA">
        <w:rPr>
          <w:rFonts w:ascii="Times New Roman" w:hAnsi="Times New Roman" w:cs="Times New Roman"/>
          <w:sz w:val="26"/>
          <w:szCs w:val="26"/>
        </w:rPr>
        <w:t xml:space="preserve"> use of civil or criminal processes.” </w:t>
      </w:r>
      <w:r w:rsidRPr="00F66DDA">
        <w:rPr>
          <w:rFonts w:ascii="Times New Roman" w:hAnsi="Times New Roman" w:cs="Times New Roman"/>
          <w:i/>
          <w:iCs/>
          <w:sz w:val="26"/>
          <w:szCs w:val="26"/>
        </w:rPr>
        <w:t>Charles v. Johnson</w:t>
      </w:r>
      <w:r w:rsidRPr="00F66DDA">
        <w:rPr>
          <w:rFonts w:ascii="Times New Roman" w:hAnsi="Times New Roman" w:cs="Times New Roman"/>
          <w:sz w:val="26"/>
          <w:szCs w:val="26"/>
        </w:rPr>
        <w:t xml:space="preserve">, 18 F.4th 686, 696 (11th Cir. 2021) (alterations added). This is not necessarily an exhaustive list of ways to prove an understanding that results in joint action. These are just some examples the Eleventh Circuit has identified. But whatever the precise version of the nexus/joint action theory a plaintiff employs, the plaintiff must show an understanding and willful participation between private and state actors to hold the defendant liable. </w:t>
      </w:r>
      <w:r w:rsidRPr="00F66DDA">
        <w:rPr>
          <w:rFonts w:ascii="Times New Roman" w:hAnsi="Times New Roman" w:cs="Times New Roman"/>
          <w:i/>
          <w:iCs/>
          <w:sz w:val="26"/>
          <w:szCs w:val="26"/>
        </w:rPr>
        <w:t>See id.</w:t>
      </w:r>
      <w:r w:rsidRPr="00F66DDA">
        <w:rPr>
          <w:rFonts w:ascii="Times New Roman" w:hAnsi="Times New Roman" w:cs="Times New Roman"/>
          <w:sz w:val="26"/>
          <w:szCs w:val="26"/>
        </w:rPr>
        <w:t xml:space="preserve"> </w:t>
      </w:r>
    </w:p>
    <w:p w14:paraId="7BC65AA9" w14:textId="77777777" w:rsidR="00FB6732" w:rsidRPr="00F66DDA" w:rsidRDefault="00FB6732" w:rsidP="00F66DDA">
      <w:pPr>
        <w:autoSpaceDE w:val="0"/>
        <w:autoSpaceDN w:val="0"/>
        <w:spacing w:after="200"/>
        <w:jc w:val="both"/>
        <w:rPr>
          <w:rFonts w:ascii="Times New Roman" w:hAnsi="Times New Roman" w:cs="Times New Roman"/>
          <w:sz w:val="26"/>
          <w:szCs w:val="26"/>
        </w:rPr>
      </w:pPr>
      <w:r w:rsidRPr="00F66DDA">
        <w:rPr>
          <w:rFonts w:ascii="Times New Roman" w:hAnsi="Times New Roman" w:cs="Times New Roman"/>
          <w:sz w:val="26"/>
          <w:szCs w:val="26"/>
        </w:rPr>
        <w:lastRenderedPageBreak/>
        <w:t xml:space="preserve">The Eleventh Circuit has held that state action issues present mixed questions of fact and law. </w:t>
      </w:r>
      <w:r w:rsidRPr="00F66DDA">
        <w:rPr>
          <w:rFonts w:ascii="Times New Roman" w:hAnsi="Times New Roman" w:cs="Times New Roman"/>
          <w:i/>
          <w:iCs/>
          <w:sz w:val="26"/>
          <w:szCs w:val="26"/>
        </w:rPr>
        <w:t>See Duke v. Smith</w:t>
      </w:r>
      <w:r w:rsidRPr="00F66DDA">
        <w:rPr>
          <w:rFonts w:ascii="Times New Roman" w:hAnsi="Times New Roman" w:cs="Times New Roman"/>
          <w:sz w:val="26"/>
          <w:szCs w:val="26"/>
        </w:rPr>
        <w:t xml:space="preserve">, 13 F.3d 388, 392 (11th Cir. 1994); </w:t>
      </w:r>
      <w:r w:rsidRPr="00F66DDA">
        <w:rPr>
          <w:rFonts w:ascii="Times New Roman" w:hAnsi="Times New Roman" w:cs="Times New Roman"/>
          <w:i/>
          <w:iCs/>
          <w:sz w:val="26"/>
          <w:szCs w:val="26"/>
        </w:rPr>
        <w:t xml:space="preserve">see also </w:t>
      </w:r>
      <w:proofErr w:type="spellStart"/>
      <w:r w:rsidRPr="00F66DDA">
        <w:rPr>
          <w:rFonts w:ascii="Times New Roman" w:hAnsi="Times New Roman" w:cs="Times New Roman"/>
          <w:i/>
          <w:iCs/>
          <w:sz w:val="26"/>
          <w:szCs w:val="26"/>
        </w:rPr>
        <w:t>Almand</w:t>
      </w:r>
      <w:proofErr w:type="spellEnd"/>
      <w:r w:rsidRPr="00F66DDA">
        <w:rPr>
          <w:rFonts w:ascii="Times New Roman" w:hAnsi="Times New Roman" w:cs="Times New Roman"/>
          <w:i/>
          <w:iCs/>
          <w:sz w:val="26"/>
          <w:szCs w:val="26"/>
        </w:rPr>
        <w:t xml:space="preserve"> v.</w:t>
      </w:r>
      <w:r w:rsidRPr="00F66DDA">
        <w:rPr>
          <w:rFonts w:ascii="Times New Roman" w:hAnsi="Times New Roman" w:cs="Times New Roman"/>
          <w:sz w:val="26"/>
          <w:szCs w:val="26"/>
        </w:rPr>
        <w:t xml:space="preserve"> </w:t>
      </w:r>
      <w:r w:rsidRPr="00F66DDA">
        <w:rPr>
          <w:rFonts w:ascii="Times New Roman" w:hAnsi="Times New Roman" w:cs="Times New Roman"/>
          <w:i/>
          <w:iCs/>
          <w:sz w:val="26"/>
          <w:szCs w:val="26"/>
        </w:rPr>
        <w:t xml:space="preserve">DeKalb </w:t>
      </w:r>
      <w:proofErr w:type="spellStart"/>
      <w:r w:rsidRPr="00F66DDA">
        <w:rPr>
          <w:rFonts w:ascii="Times New Roman" w:hAnsi="Times New Roman" w:cs="Times New Roman"/>
          <w:i/>
          <w:iCs/>
          <w:sz w:val="26"/>
          <w:szCs w:val="26"/>
        </w:rPr>
        <w:t>Cnty</w:t>
      </w:r>
      <w:proofErr w:type="spellEnd"/>
      <w:r w:rsidRPr="00F66DDA">
        <w:rPr>
          <w:rFonts w:ascii="Times New Roman" w:hAnsi="Times New Roman" w:cs="Times New Roman"/>
          <w:i/>
          <w:iCs/>
          <w:sz w:val="26"/>
          <w:szCs w:val="26"/>
        </w:rPr>
        <w:t>.</w:t>
      </w:r>
      <w:r w:rsidRPr="00F66DDA">
        <w:rPr>
          <w:rFonts w:ascii="Times New Roman" w:hAnsi="Times New Roman" w:cs="Times New Roman"/>
          <w:sz w:val="26"/>
          <w:szCs w:val="26"/>
        </w:rPr>
        <w:t>, 103 F.3d 1510, 1513–14 (11th Cir. 1997) (collecting cases).</w:t>
      </w:r>
    </w:p>
    <w:p w14:paraId="0390F4BE" w14:textId="77777777" w:rsidR="00FB6732" w:rsidRPr="00F66DDA" w:rsidRDefault="00FB6732" w:rsidP="00F66DDA">
      <w:pPr>
        <w:spacing w:after="200"/>
        <w:rPr>
          <w:rFonts w:ascii="Times New Roman" w:hAnsi="Times New Roman" w:cs="Times New Roman"/>
        </w:rPr>
      </w:pPr>
    </w:p>
    <w:p w14:paraId="3E5E669A" w14:textId="77777777" w:rsidR="005764C5" w:rsidRDefault="005764C5"/>
    <w:sectPr w:rsidR="00576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32"/>
    <w:rsid w:val="001A558C"/>
    <w:rsid w:val="005764C5"/>
    <w:rsid w:val="007B42AB"/>
    <w:rsid w:val="00F66DDA"/>
    <w:rsid w:val="00F85D53"/>
    <w:rsid w:val="00FB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ABA6"/>
  <w15:chartTrackingRefBased/>
  <w15:docId w15:val="{0826DDFD-576A-41C9-BF12-896BFC99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73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Adams</dc:creator>
  <cp:keywords/>
  <dc:description/>
  <cp:lastModifiedBy>Kathleen Adams</cp:lastModifiedBy>
  <cp:revision>2</cp:revision>
  <dcterms:created xsi:type="dcterms:W3CDTF">2024-03-20T20:07:00Z</dcterms:created>
  <dcterms:modified xsi:type="dcterms:W3CDTF">2024-03-20T20:09:00Z</dcterms:modified>
</cp:coreProperties>
</file>