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207F" w14:textId="77777777" w:rsidR="00EB58A9" w:rsidRPr="00400FF8" w:rsidRDefault="00EB58A9" w:rsidP="006F4E49">
      <w:pPr>
        <w:spacing w:after="200" w:line="240" w:lineRule="auto"/>
        <w:rPr>
          <w:rFonts w:ascii="Times New Roman" w:hAnsi="Times New Roman" w:cs="Times New Roman"/>
          <w:b/>
          <w:bCs/>
          <w:sz w:val="26"/>
          <w:szCs w:val="26"/>
          <w:u w:val="single"/>
        </w:rPr>
      </w:pPr>
      <w:r w:rsidRPr="00400FF8">
        <w:rPr>
          <w:rFonts w:ascii="Times New Roman" w:hAnsi="Times New Roman" w:cs="Times New Roman"/>
          <w:b/>
          <w:bCs/>
          <w:sz w:val="26"/>
          <w:szCs w:val="26"/>
          <w:u w:val="single"/>
        </w:rPr>
        <w:t>ANNOTATIONS AND COMMENTS</w:t>
      </w:r>
    </w:p>
    <w:p w14:paraId="08106B20" w14:textId="77777777" w:rsidR="00EB58A9" w:rsidRPr="00400FF8" w:rsidRDefault="00EB58A9" w:rsidP="006F4E49">
      <w:pPr>
        <w:spacing w:after="200" w:line="240" w:lineRule="auto"/>
        <w:ind w:firstLine="720"/>
        <w:jc w:val="both"/>
        <w:rPr>
          <w:rFonts w:ascii="Times New Roman" w:hAnsi="Times New Roman" w:cs="Times New Roman"/>
          <w:sz w:val="26"/>
          <w:szCs w:val="26"/>
        </w:rPr>
      </w:pPr>
      <w:r w:rsidRPr="00400FF8">
        <w:rPr>
          <w:rFonts w:ascii="Times New Roman" w:hAnsi="Times New Roman" w:cs="Times New Roman"/>
          <w:sz w:val="26"/>
          <w:szCs w:val="26"/>
        </w:rPr>
        <w:t xml:space="preserve">42 U.S.C. </w:t>
      </w:r>
      <w:r w:rsidRPr="00BF3947">
        <w:rPr>
          <w:rFonts w:ascii="Times New Roman" w:hAnsi="Times New Roman" w:cs="Times New Roman"/>
          <w:sz w:val="26"/>
          <w:szCs w:val="26"/>
        </w:rPr>
        <w:t>§</w:t>
      </w:r>
      <w:r>
        <w:rPr>
          <w:rFonts w:ascii="Times New Roman" w:hAnsi="Times New Roman" w:cs="Times New Roman"/>
          <w:sz w:val="26"/>
          <w:szCs w:val="26"/>
        </w:rPr>
        <w:t xml:space="preserve"> </w:t>
      </w:r>
      <w:r w:rsidRPr="00400FF8">
        <w:rPr>
          <w:rFonts w:ascii="Times New Roman" w:hAnsi="Times New Roman" w:cs="Times New Roman"/>
          <w:sz w:val="26"/>
          <w:szCs w:val="26"/>
        </w:rPr>
        <w:t xml:space="preserve">1983 imposes liability on persons who cause deprivations of federal rights “under color of state law[.]” </w:t>
      </w:r>
      <w:r w:rsidRPr="00400FF8">
        <w:rPr>
          <w:rFonts w:ascii="Times New Roman" w:hAnsi="Times New Roman" w:cs="Times New Roman"/>
          <w:i/>
          <w:iCs/>
          <w:sz w:val="26"/>
          <w:szCs w:val="26"/>
        </w:rPr>
        <w:t>Lugar v. Edmondson Oil Co.</w:t>
      </w:r>
      <w:r w:rsidRPr="00400FF8">
        <w:rPr>
          <w:rFonts w:ascii="Times New Roman" w:hAnsi="Times New Roman" w:cs="Times New Roman"/>
          <w:sz w:val="26"/>
          <w:szCs w:val="26"/>
        </w:rPr>
        <w:t xml:space="preserve">, 457 U.S. 922, 924 (1982) (citing 42 U.S.C. § 1983). The statute’s “under color of law” requirement means “the same thing as the ‘state action’ required under the Fourteenth Amendment.” </w:t>
      </w:r>
      <w:r w:rsidRPr="00400FF8">
        <w:rPr>
          <w:rFonts w:ascii="Times New Roman" w:hAnsi="Times New Roman" w:cs="Times New Roman"/>
          <w:i/>
          <w:iCs/>
          <w:sz w:val="26"/>
          <w:szCs w:val="26"/>
        </w:rPr>
        <w:t>Id.</w:t>
      </w:r>
      <w:r w:rsidRPr="00400FF8">
        <w:rPr>
          <w:rFonts w:ascii="Times New Roman" w:hAnsi="Times New Roman" w:cs="Times New Roman"/>
          <w:sz w:val="26"/>
          <w:szCs w:val="26"/>
        </w:rPr>
        <w:t xml:space="preserve"> at 928.</w:t>
      </w:r>
      <w:r>
        <w:rPr>
          <w:rFonts w:ascii="Times New Roman" w:hAnsi="Times New Roman" w:cs="Times New Roman"/>
          <w:sz w:val="26"/>
          <w:szCs w:val="26"/>
        </w:rPr>
        <w:t xml:space="preserve"> </w:t>
      </w:r>
      <w:r w:rsidRPr="00400FF8">
        <w:rPr>
          <w:rFonts w:ascii="Times New Roman" w:hAnsi="Times New Roman" w:cs="Times New Roman"/>
          <w:sz w:val="26"/>
          <w:szCs w:val="26"/>
        </w:rPr>
        <w:t xml:space="preserve">Thus, the liability created by </w:t>
      </w:r>
      <w:r w:rsidRPr="00BF3947">
        <w:rPr>
          <w:rFonts w:ascii="Times New Roman" w:hAnsi="Times New Roman" w:cs="Times New Roman"/>
          <w:sz w:val="26"/>
          <w:szCs w:val="26"/>
        </w:rPr>
        <w:t>§</w:t>
      </w:r>
      <w:r>
        <w:rPr>
          <w:rFonts w:ascii="Times New Roman" w:hAnsi="Times New Roman" w:cs="Times New Roman"/>
          <w:sz w:val="26"/>
          <w:szCs w:val="26"/>
        </w:rPr>
        <w:t xml:space="preserve"> </w:t>
      </w:r>
      <w:r w:rsidRPr="00400FF8">
        <w:rPr>
          <w:rFonts w:ascii="Times New Roman" w:hAnsi="Times New Roman" w:cs="Times New Roman"/>
          <w:sz w:val="26"/>
          <w:szCs w:val="26"/>
        </w:rPr>
        <w:t xml:space="preserve">1983 “do[es] not apply to private parties unless those parties are engaged in activity deemed to be ‘state action.’” </w:t>
      </w:r>
      <w:proofErr w:type="spellStart"/>
      <w:r w:rsidRPr="00400FF8">
        <w:rPr>
          <w:rFonts w:ascii="Times New Roman" w:hAnsi="Times New Roman" w:cs="Times New Roman"/>
          <w:i/>
          <w:iCs/>
          <w:sz w:val="26"/>
          <w:szCs w:val="26"/>
        </w:rPr>
        <w:t>Nat’l</w:t>
      </w:r>
      <w:proofErr w:type="spellEnd"/>
      <w:r w:rsidRPr="00400FF8">
        <w:rPr>
          <w:rFonts w:ascii="Times New Roman" w:hAnsi="Times New Roman" w:cs="Times New Roman"/>
          <w:i/>
          <w:iCs/>
          <w:sz w:val="26"/>
          <w:szCs w:val="26"/>
        </w:rPr>
        <w:t xml:space="preserve"> Broad. Co. v. Commc’ns Workers of Am.</w:t>
      </w:r>
      <w:r w:rsidRPr="00400FF8">
        <w:rPr>
          <w:rFonts w:ascii="Times New Roman" w:hAnsi="Times New Roman" w:cs="Times New Roman"/>
          <w:sz w:val="26"/>
          <w:szCs w:val="26"/>
        </w:rPr>
        <w:t>, 860 F.2d 1022, 1024 (11th Cir. 1988).</w:t>
      </w:r>
    </w:p>
    <w:p w14:paraId="78EA6CEF" w14:textId="77777777" w:rsidR="00EB58A9" w:rsidRPr="00400FF8" w:rsidRDefault="00EB58A9" w:rsidP="006F4E49">
      <w:pPr>
        <w:spacing w:after="200" w:line="240" w:lineRule="auto"/>
        <w:ind w:firstLine="720"/>
        <w:jc w:val="both"/>
        <w:rPr>
          <w:rFonts w:ascii="Times New Roman" w:hAnsi="Times New Roman" w:cs="Times New Roman"/>
          <w:sz w:val="26"/>
          <w:szCs w:val="26"/>
        </w:rPr>
      </w:pPr>
      <w:r w:rsidRPr="00400FF8">
        <w:rPr>
          <w:rFonts w:ascii="Times New Roman" w:hAnsi="Times New Roman" w:cs="Times New Roman"/>
          <w:sz w:val="26"/>
          <w:szCs w:val="26"/>
        </w:rPr>
        <w:t xml:space="preserve">The Eleventh Circuit has identified three tests to determine whether a private party’s conduct amounts to state action: “(1) the public function test; (2) the state compulsion test; and (3) the nexus/joint action test.” </w:t>
      </w:r>
      <w:r w:rsidRPr="00400FF8">
        <w:rPr>
          <w:rFonts w:ascii="Times New Roman" w:hAnsi="Times New Roman" w:cs="Times New Roman"/>
          <w:i/>
          <w:iCs/>
          <w:sz w:val="26"/>
          <w:szCs w:val="26"/>
        </w:rPr>
        <w:t>Willis v. Univ. Health Servs.</w:t>
      </w:r>
      <w:r w:rsidRPr="00400FF8">
        <w:rPr>
          <w:rFonts w:ascii="Times New Roman" w:hAnsi="Times New Roman" w:cs="Times New Roman"/>
          <w:sz w:val="26"/>
          <w:szCs w:val="26"/>
        </w:rPr>
        <w:t xml:space="preserve">, 993 F.2d 837, 840 (11th Cir. 1993) (citing </w:t>
      </w:r>
      <w:proofErr w:type="spellStart"/>
      <w:r w:rsidRPr="00400FF8">
        <w:rPr>
          <w:rFonts w:ascii="Times New Roman" w:hAnsi="Times New Roman" w:cs="Times New Roman"/>
          <w:i/>
          <w:iCs/>
          <w:sz w:val="26"/>
          <w:szCs w:val="26"/>
        </w:rPr>
        <w:t>Nat’l</w:t>
      </w:r>
      <w:proofErr w:type="spellEnd"/>
      <w:r w:rsidRPr="00400FF8">
        <w:rPr>
          <w:rFonts w:ascii="Times New Roman" w:hAnsi="Times New Roman" w:cs="Times New Roman"/>
          <w:i/>
          <w:iCs/>
          <w:sz w:val="26"/>
          <w:szCs w:val="26"/>
        </w:rPr>
        <w:t xml:space="preserve"> Broad. Co.</w:t>
      </w:r>
      <w:r w:rsidRPr="00400FF8">
        <w:rPr>
          <w:rFonts w:ascii="Times New Roman" w:hAnsi="Times New Roman" w:cs="Times New Roman"/>
          <w:sz w:val="26"/>
          <w:szCs w:val="26"/>
        </w:rPr>
        <w:t xml:space="preserve">, 860 F.2d at 1026). This </w:t>
      </w:r>
      <w:r>
        <w:rPr>
          <w:rFonts w:ascii="Times New Roman" w:hAnsi="Times New Roman" w:cs="Times New Roman"/>
          <w:sz w:val="26"/>
          <w:szCs w:val="26"/>
        </w:rPr>
        <w:t>i</w:t>
      </w:r>
      <w:r w:rsidRPr="00400FF8">
        <w:rPr>
          <w:rFonts w:ascii="Times New Roman" w:hAnsi="Times New Roman" w:cs="Times New Roman"/>
          <w:sz w:val="26"/>
          <w:szCs w:val="26"/>
        </w:rPr>
        <w:t>nstruction addresses the state compulsion test.</w:t>
      </w:r>
    </w:p>
    <w:p w14:paraId="54620382" w14:textId="77777777" w:rsidR="00EB58A9" w:rsidRPr="00400FF8" w:rsidRDefault="00EB58A9" w:rsidP="006F4E49">
      <w:pPr>
        <w:spacing w:after="200" w:line="240" w:lineRule="auto"/>
        <w:ind w:firstLine="720"/>
        <w:jc w:val="both"/>
        <w:rPr>
          <w:rFonts w:ascii="Times New Roman" w:hAnsi="Times New Roman" w:cs="Times New Roman"/>
          <w:sz w:val="26"/>
          <w:szCs w:val="26"/>
        </w:rPr>
      </w:pPr>
      <w:r w:rsidRPr="00400FF8">
        <w:rPr>
          <w:rFonts w:ascii="Times New Roman" w:hAnsi="Times New Roman" w:cs="Times New Roman"/>
          <w:sz w:val="26"/>
          <w:szCs w:val="26"/>
        </w:rPr>
        <w:tab/>
        <w:t xml:space="preserve">“The state compulsion test . . . limits state action to instances in which the government has coerced or at least significantly encouraged the action alleged to violate the Constitution.” </w:t>
      </w:r>
      <w:proofErr w:type="spellStart"/>
      <w:r w:rsidRPr="00400FF8">
        <w:rPr>
          <w:rFonts w:ascii="Times New Roman" w:hAnsi="Times New Roman" w:cs="Times New Roman"/>
          <w:i/>
          <w:iCs/>
          <w:sz w:val="26"/>
          <w:szCs w:val="26"/>
        </w:rPr>
        <w:t>Nat’l</w:t>
      </w:r>
      <w:proofErr w:type="spellEnd"/>
      <w:r w:rsidRPr="00400FF8">
        <w:rPr>
          <w:rFonts w:ascii="Times New Roman" w:hAnsi="Times New Roman" w:cs="Times New Roman"/>
          <w:i/>
          <w:iCs/>
          <w:sz w:val="26"/>
          <w:szCs w:val="26"/>
        </w:rPr>
        <w:t xml:space="preserve"> Broad. Co.</w:t>
      </w:r>
      <w:r w:rsidRPr="00400FF8">
        <w:rPr>
          <w:rFonts w:ascii="Times New Roman" w:hAnsi="Times New Roman" w:cs="Times New Roman"/>
          <w:sz w:val="26"/>
          <w:szCs w:val="26"/>
        </w:rPr>
        <w:t>, 860 F.2d at 1026. As the Supreme Court has explained, “</w:t>
      </w:r>
      <w:r>
        <w:rPr>
          <w:rFonts w:ascii="Times New Roman" w:hAnsi="Times New Roman" w:cs="Times New Roman"/>
          <w:sz w:val="26"/>
          <w:szCs w:val="26"/>
        </w:rPr>
        <w:t>a</w:t>
      </w:r>
      <w:r w:rsidRPr="00400FF8">
        <w:rPr>
          <w:rFonts w:ascii="Times New Roman" w:hAnsi="Times New Roman" w:cs="Times New Roman"/>
          <w:sz w:val="26"/>
          <w:szCs w:val="26"/>
        </w:rPr>
        <w:t xml:space="preserve"> State normally can be held responsible for a private decision only when it has exercised coercive power or has provided such significant encouragement, either overt or covert, that the choice must in law be deemed to be that of the State.” </w:t>
      </w:r>
      <w:r w:rsidRPr="00400FF8">
        <w:rPr>
          <w:rFonts w:ascii="Times New Roman" w:hAnsi="Times New Roman" w:cs="Times New Roman"/>
          <w:i/>
          <w:iCs/>
          <w:sz w:val="26"/>
          <w:szCs w:val="26"/>
        </w:rPr>
        <w:t xml:space="preserve">Blum v. </w:t>
      </w:r>
      <w:proofErr w:type="spellStart"/>
      <w:r w:rsidRPr="00400FF8">
        <w:rPr>
          <w:rFonts w:ascii="Times New Roman" w:hAnsi="Times New Roman" w:cs="Times New Roman"/>
          <w:i/>
          <w:iCs/>
          <w:sz w:val="26"/>
          <w:szCs w:val="26"/>
        </w:rPr>
        <w:t>Yaretsky</w:t>
      </w:r>
      <w:proofErr w:type="spellEnd"/>
      <w:r w:rsidRPr="00400FF8">
        <w:rPr>
          <w:rFonts w:ascii="Times New Roman" w:hAnsi="Times New Roman" w:cs="Times New Roman"/>
          <w:sz w:val="26"/>
          <w:szCs w:val="26"/>
        </w:rPr>
        <w:t xml:space="preserve">, 457 U.S. 991, 1004 (1982).  </w:t>
      </w:r>
    </w:p>
    <w:p w14:paraId="4F2D87A3" w14:textId="77777777" w:rsidR="00EB58A9" w:rsidRPr="00400FF8" w:rsidRDefault="00EB58A9" w:rsidP="006F4E49">
      <w:pPr>
        <w:spacing w:after="200" w:line="240" w:lineRule="auto"/>
        <w:ind w:firstLine="720"/>
        <w:jc w:val="both"/>
        <w:rPr>
          <w:rFonts w:ascii="Times New Roman" w:hAnsi="Times New Roman" w:cs="Times New Roman"/>
          <w:sz w:val="26"/>
          <w:szCs w:val="26"/>
        </w:rPr>
      </w:pPr>
      <w:r w:rsidRPr="00400FF8">
        <w:rPr>
          <w:rFonts w:ascii="Times New Roman" w:hAnsi="Times New Roman" w:cs="Times New Roman"/>
          <w:sz w:val="26"/>
          <w:szCs w:val="26"/>
        </w:rPr>
        <w:t xml:space="preserve">Showing that the state compelled a defendant’s action is a heavy burden. Plaintiffs who seek to establish that the state compelled a private defendant to act must generally show that the state “entered into the decision-making process which resulted in the” unconstitutional decision. </w:t>
      </w:r>
      <w:proofErr w:type="spellStart"/>
      <w:r w:rsidRPr="00400FF8">
        <w:rPr>
          <w:rFonts w:ascii="Times New Roman" w:hAnsi="Times New Roman" w:cs="Times New Roman"/>
          <w:i/>
          <w:iCs/>
          <w:sz w:val="26"/>
          <w:szCs w:val="26"/>
        </w:rPr>
        <w:t>Nat’l</w:t>
      </w:r>
      <w:proofErr w:type="spellEnd"/>
      <w:r w:rsidRPr="00400FF8">
        <w:rPr>
          <w:rFonts w:ascii="Times New Roman" w:hAnsi="Times New Roman" w:cs="Times New Roman"/>
          <w:i/>
          <w:iCs/>
          <w:sz w:val="26"/>
          <w:szCs w:val="26"/>
        </w:rPr>
        <w:t xml:space="preserve"> Broad. Co.</w:t>
      </w:r>
      <w:r w:rsidRPr="00400FF8">
        <w:rPr>
          <w:rFonts w:ascii="Times New Roman" w:hAnsi="Times New Roman" w:cs="Times New Roman"/>
          <w:sz w:val="26"/>
          <w:szCs w:val="26"/>
        </w:rPr>
        <w:t xml:space="preserve">, 860 F.2d at 1026. Even a showing of the state’s “approval of or acquiescence in” the private conduct is not enough. </w:t>
      </w:r>
      <w:r w:rsidRPr="00400FF8">
        <w:rPr>
          <w:rFonts w:ascii="Times New Roman" w:hAnsi="Times New Roman" w:cs="Times New Roman"/>
          <w:i/>
          <w:iCs/>
          <w:sz w:val="26"/>
          <w:szCs w:val="26"/>
        </w:rPr>
        <w:t>Blum</w:t>
      </w:r>
      <w:r w:rsidRPr="00400FF8">
        <w:rPr>
          <w:rFonts w:ascii="Times New Roman" w:hAnsi="Times New Roman" w:cs="Times New Roman"/>
          <w:sz w:val="26"/>
          <w:szCs w:val="26"/>
        </w:rPr>
        <w:t>, 457 U.S. at 1004–05</w:t>
      </w:r>
      <w:r>
        <w:rPr>
          <w:rFonts w:ascii="Times New Roman" w:hAnsi="Times New Roman" w:cs="Times New Roman"/>
          <w:sz w:val="26"/>
          <w:szCs w:val="26"/>
        </w:rPr>
        <w:t xml:space="preserve">; </w:t>
      </w:r>
      <w:r w:rsidRPr="00400FF8">
        <w:rPr>
          <w:rFonts w:ascii="Times New Roman" w:hAnsi="Times New Roman" w:cs="Times New Roman"/>
          <w:i/>
          <w:iCs/>
          <w:sz w:val="26"/>
          <w:szCs w:val="26"/>
        </w:rPr>
        <w:t>see also</w:t>
      </w:r>
      <w:r w:rsidRPr="00400FF8">
        <w:rPr>
          <w:rFonts w:ascii="Times New Roman" w:hAnsi="Times New Roman" w:cs="Times New Roman"/>
          <w:sz w:val="26"/>
          <w:szCs w:val="26"/>
        </w:rPr>
        <w:t xml:space="preserve"> </w:t>
      </w:r>
      <w:r w:rsidRPr="00400FF8">
        <w:rPr>
          <w:rFonts w:ascii="Times New Roman" w:hAnsi="Times New Roman" w:cs="Times New Roman"/>
          <w:i/>
          <w:iCs/>
          <w:sz w:val="26"/>
          <w:szCs w:val="26"/>
        </w:rPr>
        <w:t>Harvey v. Harvey</w:t>
      </w:r>
      <w:r w:rsidRPr="00400FF8">
        <w:rPr>
          <w:rFonts w:ascii="Times New Roman" w:hAnsi="Times New Roman" w:cs="Times New Roman"/>
          <w:sz w:val="26"/>
          <w:szCs w:val="26"/>
        </w:rPr>
        <w:t xml:space="preserve">, 949 F.2d 1127, 1130–31 (11th Cir. 1992). Only a showing of coercion or </w:t>
      </w:r>
      <w:r w:rsidRPr="00400FF8">
        <w:rPr>
          <w:rFonts w:ascii="Times New Roman" w:hAnsi="Times New Roman" w:cs="Times New Roman"/>
          <w:i/>
          <w:iCs/>
          <w:sz w:val="26"/>
          <w:szCs w:val="26"/>
        </w:rPr>
        <w:t>significant</w:t>
      </w:r>
      <w:r w:rsidRPr="00400FF8">
        <w:rPr>
          <w:rFonts w:ascii="Times New Roman" w:hAnsi="Times New Roman" w:cs="Times New Roman"/>
          <w:sz w:val="26"/>
          <w:szCs w:val="26"/>
        </w:rPr>
        <w:t xml:space="preserve"> encouragement will suffice.  </w:t>
      </w:r>
      <w:r w:rsidRPr="00400FF8">
        <w:rPr>
          <w:rFonts w:ascii="Times New Roman" w:hAnsi="Times New Roman" w:cs="Times New Roman"/>
          <w:i/>
          <w:iCs/>
          <w:sz w:val="26"/>
          <w:szCs w:val="26"/>
        </w:rPr>
        <w:t>See Langston v. ACT</w:t>
      </w:r>
      <w:r w:rsidRPr="00400FF8">
        <w:rPr>
          <w:rFonts w:ascii="Times New Roman" w:hAnsi="Times New Roman" w:cs="Times New Roman"/>
          <w:sz w:val="26"/>
          <w:szCs w:val="26"/>
        </w:rPr>
        <w:t>, 890 F.2d 380, 385 (11th Cir. 1989).</w:t>
      </w:r>
    </w:p>
    <w:p w14:paraId="20B96A42" w14:textId="77777777" w:rsidR="00EB58A9" w:rsidRPr="00400FF8" w:rsidRDefault="00EB58A9" w:rsidP="006F4E49">
      <w:pPr>
        <w:spacing w:after="200" w:line="240" w:lineRule="auto"/>
        <w:ind w:firstLine="720"/>
        <w:jc w:val="both"/>
        <w:rPr>
          <w:rFonts w:ascii="Times New Roman" w:hAnsi="Times New Roman" w:cs="Times New Roman"/>
          <w:sz w:val="26"/>
          <w:szCs w:val="26"/>
        </w:rPr>
      </w:pPr>
      <w:r w:rsidRPr="00400FF8">
        <w:rPr>
          <w:rFonts w:ascii="Times New Roman" w:hAnsi="Times New Roman" w:cs="Times New Roman"/>
          <w:sz w:val="26"/>
          <w:szCs w:val="26"/>
        </w:rPr>
        <w:t xml:space="preserve">Although the state compulsion test presents a high bar for </w:t>
      </w:r>
      <w:r w:rsidRPr="00BF3947">
        <w:rPr>
          <w:rFonts w:ascii="Times New Roman" w:hAnsi="Times New Roman" w:cs="Times New Roman"/>
          <w:sz w:val="26"/>
          <w:szCs w:val="26"/>
        </w:rPr>
        <w:t>§</w:t>
      </w:r>
      <w:r>
        <w:rPr>
          <w:rFonts w:ascii="Times New Roman" w:hAnsi="Times New Roman" w:cs="Times New Roman"/>
          <w:sz w:val="26"/>
          <w:szCs w:val="26"/>
        </w:rPr>
        <w:t xml:space="preserve"> </w:t>
      </w:r>
      <w:r w:rsidRPr="00400FF8">
        <w:rPr>
          <w:rFonts w:ascii="Times New Roman" w:hAnsi="Times New Roman" w:cs="Times New Roman"/>
          <w:sz w:val="26"/>
          <w:szCs w:val="26"/>
        </w:rPr>
        <w:t xml:space="preserve">1983 litigants, controlling decisions have held that the state coerced private action in certain circumstances. </w:t>
      </w:r>
      <w:r w:rsidRPr="00400FF8">
        <w:rPr>
          <w:rFonts w:ascii="Times New Roman" w:hAnsi="Times New Roman" w:cs="Times New Roman"/>
          <w:i/>
          <w:iCs/>
          <w:sz w:val="26"/>
          <w:szCs w:val="26"/>
        </w:rPr>
        <w:t>See, e.g.</w:t>
      </w:r>
      <w:r w:rsidRPr="00400FF8">
        <w:rPr>
          <w:rFonts w:ascii="Times New Roman" w:hAnsi="Times New Roman" w:cs="Times New Roman"/>
          <w:sz w:val="26"/>
          <w:szCs w:val="26"/>
        </w:rPr>
        <w:t xml:space="preserve">, </w:t>
      </w:r>
      <w:r w:rsidRPr="00400FF8">
        <w:rPr>
          <w:rFonts w:ascii="Times New Roman" w:hAnsi="Times New Roman" w:cs="Times New Roman"/>
          <w:i/>
          <w:iCs/>
          <w:sz w:val="26"/>
          <w:szCs w:val="26"/>
        </w:rPr>
        <w:t xml:space="preserve">Moose Lodge No. 107 v. </w:t>
      </w:r>
      <w:proofErr w:type="spellStart"/>
      <w:r w:rsidRPr="00400FF8">
        <w:rPr>
          <w:rFonts w:ascii="Times New Roman" w:hAnsi="Times New Roman" w:cs="Times New Roman"/>
          <w:i/>
          <w:iCs/>
          <w:sz w:val="26"/>
          <w:szCs w:val="26"/>
        </w:rPr>
        <w:t>Irvis</w:t>
      </w:r>
      <w:proofErr w:type="spellEnd"/>
      <w:r w:rsidRPr="00400FF8">
        <w:rPr>
          <w:rFonts w:ascii="Times New Roman" w:hAnsi="Times New Roman" w:cs="Times New Roman"/>
          <w:sz w:val="26"/>
          <w:szCs w:val="26"/>
        </w:rPr>
        <w:t xml:space="preserve">, 407 U.S. 163, 179 (1972) (holding that state board regulation requiring compliance with racially discriminatory bylaws of private company amounted to state action); </w:t>
      </w:r>
      <w:proofErr w:type="spellStart"/>
      <w:r w:rsidRPr="00400FF8">
        <w:rPr>
          <w:rFonts w:ascii="Times New Roman" w:hAnsi="Times New Roman" w:cs="Times New Roman"/>
          <w:i/>
          <w:iCs/>
          <w:sz w:val="26"/>
          <w:szCs w:val="26"/>
        </w:rPr>
        <w:t>Adickes</w:t>
      </w:r>
      <w:proofErr w:type="spellEnd"/>
      <w:r w:rsidRPr="00400FF8">
        <w:rPr>
          <w:rFonts w:ascii="Times New Roman" w:hAnsi="Times New Roman" w:cs="Times New Roman"/>
          <w:i/>
          <w:iCs/>
          <w:sz w:val="26"/>
          <w:szCs w:val="26"/>
        </w:rPr>
        <w:t xml:space="preserve"> v. S. H. Kress &amp; Co.</w:t>
      </w:r>
      <w:r w:rsidRPr="00400FF8">
        <w:rPr>
          <w:rFonts w:ascii="Times New Roman" w:hAnsi="Times New Roman" w:cs="Times New Roman"/>
          <w:sz w:val="26"/>
          <w:szCs w:val="26"/>
        </w:rPr>
        <w:t>, 398 U.S. 144, 171 (1970) (holding that state-enforced custom of racial segregation in restaurants amounted to state action).</w:t>
      </w:r>
    </w:p>
    <w:p w14:paraId="042E2AFD" w14:textId="77777777" w:rsidR="00EB58A9" w:rsidRPr="00400FF8" w:rsidRDefault="00EB58A9" w:rsidP="006F4E49">
      <w:pPr>
        <w:spacing w:after="200" w:line="240" w:lineRule="auto"/>
        <w:ind w:firstLine="720"/>
        <w:jc w:val="both"/>
        <w:rPr>
          <w:rFonts w:ascii="Times New Roman" w:hAnsi="Times New Roman" w:cs="Times New Roman"/>
          <w:sz w:val="26"/>
          <w:szCs w:val="26"/>
        </w:rPr>
      </w:pPr>
      <w:r w:rsidRPr="00400FF8">
        <w:rPr>
          <w:rFonts w:ascii="Times New Roman" w:hAnsi="Times New Roman" w:cs="Times New Roman"/>
          <w:sz w:val="26"/>
          <w:szCs w:val="26"/>
        </w:rPr>
        <w:tab/>
      </w:r>
      <w:r w:rsidRPr="00D43F39">
        <w:rPr>
          <w:rFonts w:ascii="Times New Roman" w:hAnsi="Times New Roman" w:cs="Times New Roman"/>
          <w:sz w:val="26"/>
          <w:szCs w:val="26"/>
        </w:rPr>
        <w:t>The Eleventh Circuit</w:t>
      </w:r>
      <w:r>
        <w:rPr>
          <w:rFonts w:ascii="Times New Roman" w:hAnsi="Times New Roman" w:cs="Times New Roman"/>
          <w:sz w:val="26"/>
          <w:szCs w:val="26"/>
        </w:rPr>
        <w:t xml:space="preserve"> has held </w:t>
      </w:r>
      <w:r w:rsidRPr="00D43F39">
        <w:rPr>
          <w:rFonts w:ascii="Times New Roman" w:hAnsi="Times New Roman" w:cs="Times New Roman"/>
          <w:sz w:val="26"/>
          <w:szCs w:val="26"/>
        </w:rPr>
        <w:t xml:space="preserve">that state action issues present mixed questions of fact and law. </w:t>
      </w:r>
      <w:r w:rsidRPr="00D43F39">
        <w:rPr>
          <w:rFonts w:ascii="Times New Roman" w:hAnsi="Times New Roman" w:cs="Times New Roman"/>
          <w:i/>
          <w:iCs/>
          <w:sz w:val="26"/>
          <w:szCs w:val="26"/>
        </w:rPr>
        <w:t>See Duke v. Smith</w:t>
      </w:r>
      <w:r w:rsidRPr="00D43F39">
        <w:rPr>
          <w:rFonts w:ascii="Times New Roman" w:hAnsi="Times New Roman" w:cs="Times New Roman"/>
          <w:sz w:val="26"/>
          <w:szCs w:val="26"/>
        </w:rPr>
        <w:t xml:space="preserve">, 13 F.3d 388, 392 (11th Cir. 1994); </w:t>
      </w:r>
      <w:r w:rsidRPr="00D43F39">
        <w:rPr>
          <w:rFonts w:ascii="Times New Roman" w:hAnsi="Times New Roman" w:cs="Times New Roman"/>
          <w:i/>
          <w:iCs/>
          <w:sz w:val="26"/>
          <w:szCs w:val="26"/>
        </w:rPr>
        <w:t>see also</w:t>
      </w:r>
      <w:r w:rsidRPr="00D43F39">
        <w:rPr>
          <w:rFonts w:ascii="Times New Roman" w:hAnsi="Times New Roman" w:cs="Times New Roman"/>
          <w:sz w:val="26"/>
          <w:szCs w:val="26"/>
        </w:rPr>
        <w:t xml:space="preserve"> </w:t>
      </w:r>
      <w:proofErr w:type="spellStart"/>
      <w:r w:rsidRPr="00D43F39">
        <w:rPr>
          <w:rFonts w:ascii="Times New Roman" w:hAnsi="Times New Roman" w:cs="Times New Roman"/>
          <w:i/>
          <w:iCs/>
          <w:sz w:val="26"/>
          <w:szCs w:val="26"/>
        </w:rPr>
        <w:t>Almand</w:t>
      </w:r>
      <w:proofErr w:type="spellEnd"/>
      <w:r w:rsidRPr="00D43F39">
        <w:rPr>
          <w:rFonts w:ascii="Times New Roman" w:hAnsi="Times New Roman" w:cs="Times New Roman"/>
          <w:i/>
          <w:iCs/>
          <w:sz w:val="26"/>
          <w:szCs w:val="26"/>
        </w:rPr>
        <w:t xml:space="preserve"> v. DeKalb </w:t>
      </w:r>
      <w:proofErr w:type="spellStart"/>
      <w:r w:rsidRPr="00D43F39">
        <w:rPr>
          <w:rFonts w:ascii="Times New Roman" w:hAnsi="Times New Roman" w:cs="Times New Roman"/>
          <w:i/>
          <w:iCs/>
          <w:sz w:val="26"/>
          <w:szCs w:val="26"/>
        </w:rPr>
        <w:t>Cnty</w:t>
      </w:r>
      <w:proofErr w:type="spellEnd"/>
      <w:r w:rsidRPr="00D43F39">
        <w:rPr>
          <w:rFonts w:ascii="Times New Roman" w:hAnsi="Times New Roman" w:cs="Times New Roman"/>
          <w:i/>
          <w:iCs/>
          <w:sz w:val="26"/>
          <w:szCs w:val="26"/>
        </w:rPr>
        <w:t>.</w:t>
      </w:r>
      <w:r w:rsidRPr="00D43F39">
        <w:rPr>
          <w:rFonts w:ascii="Times New Roman" w:hAnsi="Times New Roman" w:cs="Times New Roman"/>
          <w:sz w:val="26"/>
          <w:szCs w:val="26"/>
        </w:rPr>
        <w:t>, 103 F.3d 1510, 1513–14 (11th Cir. 1997) (collecting cases).</w:t>
      </w:r>
    </w:p>
    <w:p w14:paraId="7A33EA8C" w14:textId="77777777" w:rsidR="00EB58A9" w:rsidRPr="00DC0DAE" w:rsidRDefault="00EB58A9" w:rsidP="006F4E49">
      <w:pPr>
        <w:spacing w:after="200" w:line="240" w:lineRule="auto"/>
        <w:ind w:firstLine="720"/>
        <w:jc w:val="both"/>
        <w:rPr>
          <w:rFonts w:ascii="Times New Roman" w:hAnsi="Times New Roman" w:cs="Times New Roman"/>
          <w:sz w:val="26"/>
          <w:szCs w:val="26"/>
        </w:rPr>
      </w:pPr>
      <w:r w:rsidRPr="00400FF8">
        <w:rPr>
          <w:rFonts w:ascii="Times New Roman" w:hAnsi="Times New Roman" w:cs="Times New Roman"/>
          <w:sz w:val="26"/>
          <w:szCs w:val="26"/>
        </w:rPr>
        <w:lastRenderedPageBreak/>
        <w:t xml:space="preserve">The state compulsion test might present either a pure legal question or a partly factual question, depending on the nature of the plaintiff’s allegations. For example, if the plaintiff argues that state statutes or regulations compelled a private defendant to act unconstitutionally, determining whether state law in fact required the allegedly unlawful action would require only legal analysis. </w:t>
      </w:r>
      <w:r w:rsidRPr="00400FF8">
        <w:rPr>
          <w:rFonts w:ascii="Times New Roman" w:hAnsi="Times New Roman" w:cs="Times New Roman"/>
          <w:i/>
          <w:iCs/>
          <w:sz w:val="26"/>
          <w:szCs w:val="26"/>
        </w:rPr>
        <w:t>See, e.g.</w:t>
      </w:r>
      <w:r w:rsidRPr="00400FF8">
        <w:rPr>
          <w:rFonts w:ascii="Times New Roman" w:hAnsi="Times New Roman" w:cs="Times New Roman"/>
          <w:sz w:val="26"/>
          <w:szCs w:val="26"/>
        </w:rPr>
        <w:t xml:space="preserve">, </w:t>
      </w:r>
      <w:r w:rsidRPr="00400FF8">
        <w:rPr>
          <w:rFonts w:ascii="Times New Roman" w:hAnsi="Times New Roman" w:cs="Times New Roman"/>
          <w:i/>
          <w:iCs/>
          <w:sz w:val="26"/>
          <w:szCs w:val="26"/>
        </w:rPr>
        <w:t>Blum</w:t>
      </w:r>
      <w:r w:rsidRPr="00400FF8">
        <w:rPr>
          <w:rFonts w:ascii="Times New Roman" w:hAnsi="Times New Roman" w:cs="Times New Roman"/>
          <w:sz w:val="26"/>
          <w:szCs w:val="26"/>
        </w:rPr>
        <w:t xml:space="preserve">, 457 U.S. at 1007–09. But triable jury issues might arise if the plaintiff claims that a state-enforced custom caused her injury. </w:t>
      </w:r>
      <w:r w:rsidRPr="00400FF8">
        <w:rPr>
          <w:rFonts w:ascii="Times New Roman" w:hAnsi="Times New Roman" w:cs="Times New Roman"/>
          <w:i/>
          <w:iCs/>
          <w:sz w:val="26"/>
          <w:szCs w:val="26"/>
        </w:rPr>
        <w:t>See, e.g.</w:t>
      </w:r>
      <w:r w:rsidRPr="00400FF8">
        <w:rPr>
          <w:rFonts w:ascii="Times New Roman" w:hAnsi="Times New Roman" w:cs="Times New Roman"/>
          <w:sz w:val="26"/>
          <w:szCs w:val="26"/>
        </w:rPr>
        <w:t xml:space="preserve">, </w:t>
      </w:r>
      <w:proofErr w:type="spellStart"/>
      <w:r w:rsidRPr="00400FF8">
        <w:rPr>
          <w:rFonts w:ascii="Times New Roman" w:hAnsi="Times New Roman" w:cs="Times New Roman"/>
          <w:i/>
          <w:iCs/>
          <w:sz w:val="26"/>
          <w:szCs w:val="26"/>
        </w:rPr>
        <w:t>Adickes</w:t>
      </w:r>
      <w:proofErr w:type="spellEnd"/>
      <w:r w:rsidRPr="00400FF8">
        <w:rPr>
          <w:rFonts w:ascii="Times New Roman" w:hAnsi="Times New Roman" w:cs="Times New Roman"/>
          <w:sz w:val="26"/>
          <w:szCs w:val="26"/>
        </w:rPr>
        <w:t>, 398 U.S. at 171–74.</w:t>
      </w:r>
    </w:p>
    <w:p w14:paraId="03C527DC" w14:textId="77777777" w:rsidR="005764C5" w:rsidRDefault="005764C5" w:rsidP="006F4E49">
      <w:pPr>
        <w:ind w:firstLine="720"/>
      </w:pPr>
    </w:p>
    <w:sectPr w:rsidR="00576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A9"/>
    <w:rsid w:val="001A558C"/>
    <w:rsid w:val="005764C5"/>
    <w:rsid w:val="006F4E49"/>
    <w:rsid w:val="007B42AB"/>
    <w:rsid w:val="00EB58A9"/>
    <w:rsid w:val="00F8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0A71"/>
  <w15:chartTrackingRefBased/>
  <w15:docId w15:val="{2A9C45A3-36D8-45E7-B24F-2D3F932C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8A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Adams</dc:creator>
  <cp:keywords/>
  <dc:description/>
  <cp:lastModifiedBy>Kathleen Adams</cp:lastModifiedBy>
  <cp:revision>2</cp:revision>
  <dcterms:created xsi:type="dcterms:W3CDTF">2024-03-22T18:47:00Z</dcterms:created>
  <dcterms:modified xsi:type="dcterms:W3CDTF">2024-03-22T18:48:00Z</dcterms:modified>
</cp:coreProperties>
</file>