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8F4" w:rsidRPr="00BA5A35" w:rsidRDefault="009B08F4" w:rsidP="00AA3503">
      <w:pPr>
        <w:spacing w:after="240" w:line="240" w:lineRule="auto"/>
        <w:jc w:val="both"/>
        <w:rPr>
          <w:rFonts w:ascii="Times New Roman" w:eastAsia="Arial" w:hAnsi="Times New Roman" w:cs="Times New Roman"/>
          <w:sz w:val="26"/>
          <w:szCs w:val="26"/>
        </w:rPr>
      </w:pPr>
      <w:r w:rsidRPr="00BA5A35">
        <w:rPr>
          <w:rFonts w:ascii="Times New Roman" w:eastAsia="Arial" w:hAnsi="Times New Roman" w:cs="Times New Roman"/>
          <w:b/>
          <w:sz w:val="26"/>
          <w:szCs w:val="26"/>
          <w:u w:val="single"/>
        </w:rPr>
        <w:t>ANNOTATIONS AND COMMENTS</w:t>
      </w:r>
    </w:p>
    <w:p w:rsidR="009B08F4" w:rsidRDefault="009B08F4" w:rsidP="00AA3503">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This jury charge is to be read only for works that have been published prior to the effective date of the Berne Convention (March 1, 1989). </w:t>
      </w:r>
      <w:r>
        <w:rPr>
          <w:rFonts w:ascii="Times New Roman" w:eastAsia="Arial" w:hAnsi="Times New Roman" w:cs="Times New Roman"/>
          <w:i/>
          <w:sz w:val="26"/>
          <w:szCs w:val="26"/>
        </w:rPr>
        <w:t>See</w:t>
      </w:r>
      <w:r>
        <w:rPr>
          <w:rFonts w:ascii="Times New Roman" w:eastAsia="Arial" w:hAnsi="Times New Roman" w:cs="Times New Roman"/>
          <w:sz w:val="26"/>
          <w:szCs w:val="26"/>
        </w:rPr>
        <w:t xml:space="preserve"> 17 U.S.C. § 405</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numberingChange w:id="0" w:author="Author" w:original="(a)"/>
        </w:fldChar>
      </w:r>
      <w:r>
        <w:rPr>
          <w:rFonts w:ascii="Times New Roman" w:eastAsia="Arial" w:hAnsi="Times New Roman" w:cs="Times New Roman"/>
          <w:sz w:val="26"/>
          <w:szCs w:val="26"/>
        </w:rPr>
        <w:t>. This charge only addresses the “notice requirement” for pre-Berne Convention works.</w:t>
      </w:r>
    </w:p>
    <w:p w:rsidR="009B08F4" w:rsidRDefault="009B08F4" w:rsidP="00AA3503">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Compliance with “the applicable statutory formalities” is a requirement for validity. </w:t>
      </w:r>
      <w:r>
        <w:rPr>
          <w:rFonts w:ascii="Times New Roman" w:eastAsia="Arial" w:hAnsi="Times New Roman" w:cs="Times New Roman"/>
          <w:i/>
          <w:sz w:val="26"/>
          <w:szCs w:val="26"/>
        </w:rPr>
        <w:t>See Montgomery v. Noga</w:t>
      </w:r>
      <w:r>
        <w:rPr>
          <w:rFonts w:ascii="Times New Roman" w:eastAsia="Arial" w:hAnsi="Times New Roman" w:cs="Times New Roman"/>
          <w:sz w:val="26"/>
          <w:szCs w:val="26"/>
        </w:rPr>
        <w:t xml:space="preserve">, </w:t>
      </w:r>
      <w:proofErr w:type="gramStart"/>
      <w:r>
        <w:rPr>
          <w:rFonts w:ascii="Times New Roman" w:eastAsia="Arial" w:hAnsi="Times New Roman" w:cs="Times New Roman"/>
          <w:sz w:val="26"/>
          <w:szCs w:val="26"/>
        </w:rPr>
        <w:t>168 F.3d 1282, 1289</w:t>
      </w:r>
      <w:proofErr w:type="gramEnd"/>
      <w:r>
        <w:rPr>
          <w:rFonts w:ascii="Times New Roman" w:eastAsia="Arial" w:hAnsi="Times New Roman" w:cs="Times New Roman"/>
          <w:sz w:val="26"/>
          <w:szCs w:val="26"/>
        </w:rPr>
        <w:t xml:space="preserve"> (11</w:t>
      </w:r>
      <w:r w:rsidR="00134E54">
        <w:rPr>
          <w:rFonts w:ascii="Times New Roman" w:eastAsia="Arial" w:hAnsi="Times New Roman" w:cs="Times New Roman"/>
          <w:sz w:val="26"/>
          <w:szCs w:val="26"/>
        </w:rPr>
        <w:t>th</w:t>
      </w:r>
      <w:r>
        <w:rPr>
          <w:rFonts w:ascii="Times New Roman" w:eastAsia="Arial" w:hAnsi="Times New Roman" w:cs="Times New Roman"/>
          <w:sz w:val="26"/>
          <w:szCs w:val="26"/>
        </w:rPr>
        <w:t xml:space="preserve"> Cir. 1999). The notice requirement for works distributed prior to 1989 is discussed in </w:t>
      </w:r>
      <w:r>
        <w:rPr>
          <w:rFonts w:ascii="Times New Roman" w:eastAsia="Arial" w:hAnsi="Times New Roman" w:cs="Times New Roman"/>
          <w:i/>
          <w:sz w:val="26"/>
          <w:szCs w:val="26"/>
        </w:rPr>
        <w:t xml:space="preserve">Original Appalachian Artworks, Inc. v. Toy Loft, </w:t>
      </w:r>
      <w:bookmarkStart w:id="1" w:name="_GoBack"/>
      <w:bookmarkEnd w:id="1"/>
      <w:r>
        <w:rPr>
          <w:rFonts w:ascii="Times New Roman" w:eastAsia="Arial" w:hAnsi="Times New Roman" w:cs="Times New Roman"/>
          <w:i/>
          <w:sz w:val="26"/>
          <w:szCs w:val="26"/>
        </w:rPr>
        <w:t>Inc.</w:t>
      </w:r>
      <w:r>
        <w:rPr>
          <w:rFonts w:ascii="Times New Roman" w:eastAsia="Arial" w:hAnsi="Times New Roman" w:cs="Times New Roman"/>
          <w:sz w:val="26"/>
          <w:szCs w:val="26"/>
        </w:rPr>
        <w:t>, 684 F.2d 821, 823 n.</w:t>
      </w:r>
      <w:r w:rsidR="00134E54">
        <w:rPr>
          <w:rFonts w:ascii="Times New Roman" w:eastAsia="Arial" w:hAnsi="Times New Roman" w:cs="Times New Roman"/>
          <w:sz w:val="26"/>
          <w:szCs w:val="26"/>
        </w:rPr>
        <w:t>1</w:t>
      </w:r>
      <w:r>
        <w:rPr>
          <w:rFonts w:ascii="Times New Roman" w:eastAsia="Arial" w:hAnsi="Times New Roman" w:cs="Times New Roman"/>
          <w:sz w:val="26"/>
          <w:szCs w:val="26"/>
        </w:rPr>
        <w:t xml:space="preserve"> (11</w:t>
      </w:r>
      <w:r w:rsidR="00134E54">
        <w:rPr>
          <w:rFonts w:ascii="Times New Roman" w:eastAsia="Arial" w:hAnsi="Times New Roman" w:cs="Times New Roman"/>
          <w:sz w:val="26"/>
          <w:szCs w:val="26"/>
        </w:rPr>
        <w:t>th</w:t>
      </w:r>
      <w:r>
        <w:rPr>
          <w:rFonts w:ascii="Times New Roman" w:eastAsia="Arial" w:hAnsi="Times New Roman" w:cs="Times New Roman"/>
          <w:sz w:val="26"/>
          <w:szCs w:val="26"/>
        </w:rPr>
        <w:t xml:space="preserve"> Cir. 1982) (“In order to protect his copyright, an author must attach a copyright notice to any copies of his work that are ‘published’ as that term is defined in § 101 of the Copyright Act, 17 U.S.C. § 101.”)</w:t>
      </w:r>
      <w:r w:rsidR="00134E54">
        <w:rPr>
          <w:rFonts w:ascii="Times New Roman" w:eastAsia="Arial" w:hAnsi="Times New Roman" w:cs="Times New Roman"/>
          <w:sz w:val="26"/>
          <w:szCs w:val="26"/>
        </w:rPr>
        <w:t>.</w:t>
      </w:r>
    </w:p>
    <w:p w:rsidR="009B08F4" w:rsidRDefault="009B08F4" w:rsidP="00AA3503">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17 U.S.C. § 405</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numberingChange w:id="2" w:author="Author" w:original="(a)"/>
        </w:fldChar>
      </w:r>
      <w:r>
        <w:rPr>
          <w:rFonts w:ascii="Times New Roman" w:eastAsia="Arial" w:hAnsi="Times New Roman" w:cs="Times New Roman"/>
          <w:sz w:val="26"/>
          <w:szCs w:val="26"/>
        </w:rPr>
        <w:t xml:space="preserve"> provides an exception to the notice requirement. The omission of the copyright notice on copies or phonographs publicly distributed by authority of the copyright owner does not invalidate the copyright in the work if:</w:t>
      </w:r>
    </w:p>
    <w:p w:rsidR="009B08F4" w:rsidRPr="003B770E" w:rsidRDefault="009B08F4" w:rsidP="00AA3503">
      <w:pPr>
        <w:spacing w:after="240" w:line="240" w:lineRule="auto"/>
        <w:ind w:left="720" w:right="720"/>
        <w:jc w:val="both"/>
        <w:rPr>
          <w:rFonts w:ascii="Times New Roman" w:eastAsia="Arial" w:hAnsi="Times New Roman" w:cs="Times New Roman"/>
          <w:sz w:val="26"/>
          <w:szCs w:val="26"/>
        </w:rPr>
      </w:pP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numberingChange w:id="3" w:author="Author" w:original="(1)"/>
        </w:fldChar>
      </w:r>
      <w:r>
        <w:rPr>
          <w:rFonts w:ascii="Times New Roman" w:eastAsia="Arial" w:hAnsi="Times New Roman" w:cs="Times New Roman"/>
          <w:sz w:val="26"/>
          <w:szCs w:val="26"/>
        </w:rPr>
        <w:t xml:space="preserve"> the notice has been omitted from no more than a relatively small number of copies or phonorecords distributed to the public; or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numberingChange w:id="4" w:author="Author" w:original="(2)"/>
        </w:fldChar>
      </w:r>
      <w:r>
        <w:rPr>
          <w:rFonts w:ascii="Times New Roman" w:eastAsia="Arial" w:hAnsi="Times New Roman" w:cs="Times New Roman"/>
          <w:sz w:val="26"/>
          <w:szCs w:val="26"/>
        </w:rPr>
        <w:t xml:space="preserve"> registration for the work has been made before or is made within five years after the publication without notice, and a reasonable effort is made to add notice to all copies or phonorecords that are distributed to the public in the United States after the omission has been discovered; or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3 </w:instrText>
      </w:r>
      <w:r>
        <w:rPr>
          <w:rFonts w:ascii="Times New Roman" w:eastAsia="Arial" w:hAnsi="Times New Roman" w:cs="Times New Roman"/>
          <w:sz w:val="26"/>
          <w:szCs w:val="26"/>
        </w:rPr>
        <w:fldChar w:fldCharType="end">
          <w:numberingChange w:id="5" w:author="Author" w:original="(3)"/>
        </w:fldChar>
      </w:r>
      <w:r>
        <w:rPr>
          <w:rFonts w:ascii="Times New Roman" w:eastAsia="Arial" w:hAnsi="Times New Roman" w:cs="Times New Roman"/>
          <w:sz w:val="26"/>
          <w:szCs w:val="26"/>
        </w:rPr>
        <w:t xml:space="preserve"> the notice has been omitted in violation of an express requirement in writing that, as a condition of the copyright owner’s authorization of the public distribution of copies or phonorecords, they bear the prescribed notice.</w:t>
      </w:r>
    </w:p>
    <w:p w:rsidR="00725167" w:rsidRPr="006E19CC" w:rsidRDefault="009B08F4" w:rsidP="00AA3503">
      <w:pPr>
        <w:spacing w:after="240" w:line="240" w:lineRule="auto"/>
        <w:rPr>
          <w:rFonts w:ascii="Times New Roman" w:eastAsia="Arial" w:hAnsi="Times New Roman" w:cs="Times New Roman"/>
          <w:i/>
          <w:sz w:val="28"/>
          <w:szCs w:val="28"/>
        </w:rPr>
      </w:pPr>
      <w:r>
        <w:rPr>
          <w:rFonts w:ascii="Times New Roman" w:eastAsia="Arial" w:hAnsi="Times New Roman" w:cs="Times New Roman"/>
          <w:i/>
          <w:sz w:val="28"/>
          <w:szCs w:val="28"/>
        </w:rPr>
        <w:t>Id.</w:t>
      </w:r>
    </w:p>
    <w:sectPr w:rsidR="00725167" w:rsidRPr="006E19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A2B" w:rsidRDefault="00695A2B" w:rsidP="00695A2B">
      <w:pPr>
        <w:spacing w:after="0" w:line="240" w:lineRule="auto"/>
      </w:pPr>
      <w:r>
        <w:separator/>
      </w:r>
    </w:p>
  </w:endnote>
  <w:endnote w:type="continuationSeparator" w:id="0">
    <w:p w:rsidR="00695A2B" w:rsidRDefault="00695A2B" w:rsidP="00695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A2B" w:rsidRDefault="00695A2B" w:rsidP="00695A2B">
      <w:pPr>
        <w:spacing w:after="0" w:line="240" w:lineRule="auto"/>
      </w:pPr>
      <w:r>
        <w:separator/>
      </w:r>
    </w:p>
  </w:footnote>
  <w:footnote w:type="continuationSeparator" w:id="0">
    <w:p w:rsidR="00695A2B" w:rsidRDefault="00695A2B" w:rsidP="00695A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395"/>
    <w:rsid w:val="00014B03"/>
    <w:rsid w:val="0009429E"/>
    <w:rsid w:val="000A1C0D"/>
    <w:rsid w:val="0012451E"/>
    <w:rsid w:val="00134E54"/>
    <w:rsid w:val="001E02CA"/>
    <w:rsid w:val="001E17DC"/>
    <w:rsid w:val="001E531F"/>
    <w:rsid w:val="00240B28"/>
    <w:rsid w:val="002840A9"/>
    <w:rsid w:val="002B5D87"/>
    <w:rsid w:val="002B67EE"/>
    <w:rsid w:val="003C6FF2"/>
    <w:rsid w:val="00427B27"/>
    <w:rsid w:val="005819CC"/>
    <w:rsid w:val="00695A2B"/>
    <w:rsid w:val="00695E01"/>
    <w:rsid w:val="006E19CC"/>
    <w:rsid w:val="00703AA4"/>
    <w:rsid w:val="00725167"/>
    <w:rsid w:val="0076151A"/>
    <w:rsid w:val="00782A84"/>
    <w:rsid w:val="007B150F"/>
    <w:rsid w:val="007B74C2"/>
    <w:rsid w:val="007D42A6"/>
    <w:rsid w:val="0081575C"/>
    <w:rsid w:val="00854FFE"/>
    <w:rsid w:val="0089546D"/>
    <w:rsid w:val="008A602D"/>
    <w:rsid w:val="008B5673"/>
    <w:rsid w:val="00927349"/>
    <w:rsid w:val="009454D2"/>
    <w:rsid w:val="009A03FE"/>
    <w:rsid w:val="009B08F4"/>
    <w:rsid w:val="00A17554"/>
    <w:rsid w:val="00A32720"/>
    <w:rsid w:val="00A45395"/>
    <w:rsid w:val="00AA3503"/>
    <w:rsid w:val="00AD447F"/>
    <w:rsid w:val="00B605E7"/>
    <w:rsid w:val="00BA403B"/>
    <w:rsid w:val="00BA604B"/>
    <w:rsid w:val="00C014DB"/>
    <w:rsid w:val="00C473BC"/>
    <w:rsid w:val="00CB7D67"/>
    <w:rsid w:val="00DC18AE"/>
    <w:rsid w:val="00DD3EED"/>
    <w:rsid w:val="00E14061"/>
    <w:rsid w:val="00E33549"/>
    <w:rsid w:val="00E60CBF"/>
    <w:rsid w:val="00E7659F"/>
    <w:rsid w:val="00E83270"/>
    <w:rsid w:val="00F53CEA"/>
    <w:rsid w:val="00F9797A"/>
    <w:rsid w:val="00FE6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695A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5A2B"/>
  </w:style>
  <w:style w:type="paragraph" w:styleId="Footer">
    <w:name w:val="footer"/>
    <w:basedOn w:val="Normal"/>
    <w:link w:val="FooterChar"/>
    <w:uiPriority w:val="99"/>
    <w:unhideWhenUsed/>
    <w:rsid w:val="00695A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5A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695A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5A2B"/>
  </w:style>
  <w:style w:type="paragraph" w:styleId="Footer">
    <w:name w:val="footer"/>
    <w:basedOn w:val="Normal"/>
    <w:link w:val="FooterChar"/>
    <w:uiPriority w:val="99"/>
    <w:unhideWhenUsed/>
    <w:rsid w:val="00695A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5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5EAE5-EB90-4523-A4C9-6F21422DD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276</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2017-08-23T14:36:00Z</dcterms:created>
  <dcterms:modified xsi:type="dcterms:W3CDTF">2017-08-23T14:36:00Z</dcterms:modified>
</cp:coreProperties>
</file>