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17" w:rsidRPr="00BA5A35" w:rsidRDefault="00BD7417" w:rsidP="00DE399E">
      <w:pPr>
        <w:spacing w:after="240" w:line="240" w:lineRule="auto"/>
        <w:jc w:val="both"/>
        <w:rPr>
          <w:rFonts w:ascii="Times New Roman" w:eastAsia="Arial" w:hAnsi="Times New Roman" w:cs="Times New Roman"/>
          <w:sz w:val="26"/>
          <w:szCs w:val="26"/>
        </w:rPr>
      </w:pPr>
      <w:bookmarkStart w:id="0" w:name="_GoBack"/>
      <w:bookmarkEnd w:id="0"/>
      <w:r w:rsidRPr="00BA5A35">
        <w:rPr>
          <w:rFonts w:ascii="Times New Roman" w:eastAsia="Arial" w:hAnsi="Times New Roman" w:cs="Times New Roman"/>
          <w:b/>
          <w:sz w:val="26"/>
          <w:szCs w:val="26"/>
          <w:u w:val="single"/>
        </w:rPr>
        <w:t>ANNOTATIONS AND COMMENTS</w:t>
      </w:r>
    </w:p>
    <w:p w:rsidR="00BD7417" w:rsidRDefault="00BD7417" w:rsidP="00DE399E">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This jury instruction applies when the Plaintiff does not have a registration for the work that is the subject of the copyright infringement claim (an earlier created work, or preexisting work), but has a registration for a derivative or collective work (a later created work) that references or identifies the preexisting work. The effective registration doctrine permits a plaintiff to advance an infringement suit if the Plaintiff owns both the preexisting work and a later created work and the certificate of registration for the later created work identifies the preexisting work. </w:t>
      </w:r>
      <w:r>
        <w:rPr>
          <w:rFonts w:ascii="Times New Roman" w:eastAsia="Arial" w:hAnsi="Times New Roman" w:cs="Times New Roman"/>
          <w:i/>
          <w:sz w:val="26"/>
          <w:szCs w:val="26"/>
        </w:rPr>
        <w:t>See Oravec v. Sunny Isles Luxury Ventures, L.C.</w:t>
      </w:r>
      <w:r>
        <w:rPr>
          <w:rFonts w:ascii="Times New Roman" w:eastAsia="Arial" w:hAnsi="Times New Roman" w:cs="Times New Roman"/>
          <w:sz w:val="26"/>
          <w:szCs w:val="26"/>
        </w:rPr>
        <w:t>, 527 F.3d 1218, 1229-31 (11</w:t>
      </w:r>
      <w:r w:rsidR="002E7631">
        <w:rPr>
          <w:rFonts w:ascii="Times New Roman" w:eastAsia="Arial" w:hAnsi="Times New Roman" w:cs="Times New Roman"/>
          <w:sz w:val="26"/>
          <w:szCs w:val="26"/>
        </w:rPr>
        <w:t>th</w:t>
      </w:r>
      <w:r>
        <w:rPr>
          <w:rFonts w:ascii="Times New Roman" w:eastAsia="Arial" w:hAnsi="Times New Roman" w:cs="Times New Roman"/>
          <w:sz w:val="26"/>
          <w:szCs w:val="26"/>
        </w:rPr>
        <w:t xml:space="preserve"> Cir. 2008).</w:t>
      </w:r>
    </w:p>
    <w:p w:rsidR="00725167" w:rsidRPr="006E19CC" w:rsidRDefault="00BD7417" w:rsidP="00DE399E">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situation that is effectively the reverse of the “effective registration” doctrine may also occur; that is, where the alleged infringement is of a later, unregistered version of an earlier-registered work. The earlier registration may be effective to support an infringement action as to those portions of the earlier work incorporated into the later, unregistered version at issue in the suit. </w:t>
      </w:r>
      <w:r>
        <w:rPr>
          <w:rFonts w:ascii="Times New Roman" w:eastAsia="Arial" w:hAnsi="Times New Roman" w:cs="Times New Roman"/>
          <w:i/>
          <w:sz w:val="26"/>
          <w:szCs w:val="26"/>
        </w:rPr>
        <w:t>See Montgomery v. Noga</w:t>
      </w:r>
      <w:r>
        <w:rPr>
          <w:rFonts w:ascii="Times New Roman" w:eastAsia="Arial" w:hAnsi="Times New Roman" w:cs="Times New Roman"/>
          <w:sz w:val="26"/>
          <w:szCs w:val="26"/>
        </w:rPr>
        <w:t>, 168 F.3d 1282, 1292-93 (11</w:t>
      </w:r>
      <w:r w:rsidR="002E7631">
        <w:rPr>
          <w:rFonts w:ascii="Times New Roman" w:eastAsia="Arial" w:hAnsi="Times New Roman" w:cs="Times New Roman"/>
          <w:sz w:val="26"/>
          <w:szCs w:val="26"/>
        </w:rPr>
        <w:t>th</w:t>
      </w:r>
      <w:r>
        <w:rPr>
          <w:rFonts w:ascii="Times New Roman" w:eastAsia="Arial" w:hAnsi="Times New Roman" w:cs="Times New Roman"/>
          <w:sz w:val="26"/>
          <w:szCs w:val="26"/>
        </w:rPr>
        <w:t xml:space="preserve"> Cir. 1999).</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4C" w:rsidRDefault="0037144C" w:rsidP="0037144C">
      <w:pPr>
        <w:spacing w:after="0" w:line="240" w:lineRule="auto"/>
      </w:pPr>
      <w:r>
        <w:separator/>
      </w:r>
    </w:p>
  </w:endnote>
  <w:endnote w:type="continuationSeparator" w:id="0">
    <w:p w:rsidR="0037144C" w:rsidRDefault="0037144C" w:rsidP="0037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4C" w:rsidRDefault="0037144C" w:rsidP="0037144C">
      <w:pPr>
        <w:spacing w:after="0" w:line="240" w:lineRule="auto"/>
      </w:pPr>
      <w:r>
        <w:separator/>
      </w:r>
    </w:p>
  </w:footnote>
  <w:footnote w:type="continuationSeparator" w:id="0">
    <w:p w:rsidR="0037144C" w:rsidRDefault="0037144C" w:rsidP="00371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E02CA"/>
    <w:rsid w:val="001E17DC"/>
    <w:rsid w:val="001E531F"/>
    <w:rsid w:val="00240B28"/>
    <w:rsid w:val="002840A9"/>
    <w:rsid w:val="002B5D87"/>
    <w:rsid w:val="002B67EE"/>
    <w:rsid w:val="002E7631"/>
    <w:rsid w:val="0037144C"/>
    <w:rsid w:val="003C6FF2"/>
    <w:rsid w:val="00427B27"/>
    <w:rsid w:val="00503F77"/>
    <w:rsid w:val="005819CC"/>
    <w:rsid w:val="00695E01"/>
    <w:rsid w:val="006E19CC"/>
    <w:rsid w:val="00703AA4"/>
    <w:rsid w:val="00725167"/>
    <w:rsid w:val="0076151A"/>
    <w:rsid w:val="00782A84"/>
    <w:rsid w:val="007B150F"/>
    <w:rsid w:val="007B74C2"/>
    <w:rsid w:val="007D42A6"/>
    <w:rsid w:val="0081575C"/>
    <w:rsid w:val="00854FFE"/>
    <w:rsid w:val="0089546D"/>
    <w:rsid w:val="008A602D"/>
    <w:rsid w:val="008B5673"/>
    <w:rsid w:val="00927349"/>
    <w:rsid w:val="009454D2"/>
    <w:rsid w:val="009A03FE"/>
    <w:rsid w:val="009B08F4"/>
    <w:rsid w:val="00A067D3"/>
    <w:rsid w:val="00A17554"/>
    <w:rsid w:val="00A32720"/>
    <w:rsid w:val="00A45395"/>
    <w:rsid w:val="00AD447F"/>
    <w:rsid w:val="00B605E7"/>
    <w:rsid w:val="00BA403B"/>
    <w:rsid w:val="00BA604B"/>
    <w:rsid w:val="00BD7417"/>
    <w:rsid w:val="00C014DB"/>
    <w:rsid w:val="00C43236"/>
    <w:rsid w:val="00C473BC"/>
    <w:rsid w:val="00DC18AE"/>
    <w:rsid w:val="00DD3EED"/>
    <w:rsid w:val="00DE399E"/>
    <w:rsid w:val="00E14061"/>
    <w:rsid w:val="00E33549"/>
    <w:rsid w:val="00E60CBF"/>
    <w:rsid w:val="00E7659F"/>
    <w:rsid w:val="00E83270"/>
    <w:rsid w:val="00F55FB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37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44C"/>
  </w:style>
  <w:style w:type="paragraph" w:styleId="Footer">
    <w:name w:val="footer"/>
    <w:basedOn w:val="Normal"/>
    <w:link w:val="FooterChar"/>
    <w:uiPriority w:val="99"/>
    <w:unhideWhenUsed/>
    <w:rsid w:val="0037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37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44C"/>
  </w:style>
  <w:style w:type="paragraph" w:styleId="Footer">
    <w:name w:val="footer"/>
    <w:basedOn w:val="Normal"/>
    <w:link w:val="FooterChar"/>
    <w:uiPriority w:val="99"/>
    <w:unhideWhenUsed/>
    <w:rsid w:val="0037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2B21-FB05-4864-BD21-CF935439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2017-08-23T14:37:00Z</dcterms:created>
  <dcterms:modified xsi:type="dcterms:W3CDTF">2017-08-23T14:37:00Z</dcterms:modified>
</cp:coreProperties>
</file>