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0AF" w:rsidRPr="00BA5A35" w:rsidRDefault="00C440AF" w:rsidP="00BE1776">
      <w:pPr>
        <w:spacing w:after="240" w:line="240" w:lineRule="auto"/>
        <w:jc w:val="both"/>
        <w:rPr>
          <w:rFonts w:ascii="Times New Roman" w:eastAsia="Arial" w:hAnsi="Times New Roman" w:cs="Times New Roman"/>
          <w:sz w:val="26"/>
          <w:szCs w:val="26"/>
        </w:rPr>
      </w:pPr>
      <w:r w:rsidRPr="00BA5A35">
        <w:rPr>
          <w:rFonts w:ascii="Times New Roman" w:eastAsia="Arial" w:hAnsi="Times New Roman" w:cs="Times New Roman"/>
          <w:b/>
          <w:sz w:val="26"/>
          <w:szCs w:val="26"/>
          <w:u w:val="single"/>
        </w:rPr>
        <w:t>ANNOTATIONS AND COMMENTS</w:t>
      </w:r>
    </w:p>
    <w:p w:rsidR="00C440AF" w:rsidRDefault="00C440AF" w:rsidP="00BE1776">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This instruction should be used for works as to which no presumption of validity applies. 17 U.S.C. § 410</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3 </w:instrText>
      </w:r>
      <w:r>
        <w:rPr>
          <w:rFonts w:ascii="Times New Roman" w:eastAsia="Arial" w:hAnsi="Times New Roman" w:cs="Times New Roman"/>
          <w:sz w:val="26"/>
          <w:szCs w:val="26"/>
        </w:rPr>
        <w:fldChar w:fldCharType="end">
          <w:numberingChange w:id="0" w:author="Author" w:original="(c)"/>
        </w:fldChar>
      </w:r>
      <w:r>
        <w:rPr>
          <w:rFonts w:ascii="Times New Roman" w:eastAsia="Arial" w:hAnsi="Times New Roman" w:cs="Times New Roman"/>
          <w:sz w:val="26"/>
          <w:szCs w:val="26"/>
        </w:rPr>
        <w:t xml:space="preserve"> (“In any judicial proceedings the certificate of a registration made before or within five years after first publication of the work shall constitute prima facie evidence of the validity of the copyright and the facts stated in the certificate. </w:t>
      </w:r>
      <w:proofErr w:type="gramStart"/>
      <w:r>
        <w:rPr>
          <w:rFonts w:ascii="Times New Roman" w:eastAsia="Arial" w:hAnsi="Times New Roman" w:cs="Times New Roman"/>
          <w:sz w:val="26"/>
          <w:szCs w:val="26"/>
        </w:rPr>
        <w:t xml:space="preserve">The evidentiary weight to be accorded the certificate of a registration made thereafter shall be within the discretion of the court.”); </w:t>
      </w:r>
      <w:r>
        <w:rPr>
          <w:rFonts w:ascii="Times New Roman" w:eastAsia="Arial" w:hAnsi="Times New Roman" w:cs="Times New Roman"/>
          <w:i/>
          <w:sz w:val="26"/>
          <w:szCs w:val="26"/>
        </w:rPr>
        <w:t xml:space="preserve">see also M.G.B. Homes, Inc. v. </w:t>
      </w:r>
      <w:proofErr w:type="spellStart"/>
      <w:r>
        <w:rPr>
          <w:rFonts w:ascii="Times New Roman" w:eastAsia="Arial" w:hAnsi="Times New Roman" w:cs="Times New Roman"/>
          <w:i/>
          <w:sz w:val="26"/>
          <w:szCs w:val="26"/>
        </w:rPr>
        <w:t>Ameron</w:t>
      </w:r>
      <w:proofErr w:type="spellEnd"/>
      <w:r>
        <w:rPr>
          <w:rFonts w:ascii="Times New Roman" w:eastAsia="Arial" w:hAnsi="Times New Roman" w:cs="Times New Roman"/>
          <w:i/>
          <w:sz w:val="26"/>
          <w:szCs w:val="26"/>
        </w:rPr>
        <w:t xml:space="preserve"> Homes, Inc.</w:t>
      </w:r>
      <w:r>
        <w:rPr>
          <w:rFonts w:ascii="Times New Roman" w:eastAsia="Arial" w:hAnsi="Times New Roman" w:cs="Times New Roman"/>
          <w:sz w:val="26"/>
          <w:szCs w:val="26"/>
        </w:rPr>
        <w:t>, 903 F.2d 1486, 1488 n.4 (11</w:t>
      </w:r>
      <w:r w:rsidR="00127EB5">
        <w:rPr>
          <w:rFonts w:ascii="Times New Roman" w:eastAsia="Arial" w:hAnsi="Times New Roman" w:cs="Times New Roman"/>
          <w:sz w:val="26"/>
          <w:szCs w:val="26"/>
        </w:rPr>
        <w:t>th</w:t>
      </w:r>
      <w:r>
        <w:rPr>
          <w:rFonts w:ascii="Times New Roman" w:eastAsia="Arial" w:hAnsi="Times New Roman" w:cs="Times New Roman"/>
          <w:sz w:val="26"/>
          <w:szCs w:val="26"/>
        </w:rPr>
        <w:t xml:space="preserve"> Cir. 1990).</w:t>
      </w:r>
      <w:bookmarkStart w:id="1" w:name="_GoBack"/>
      <w:bookmarkEnd w:id="1"/>
      <w:proofErr w:type="gramEnd"/>
    </w:p>
    <w:p w:rsidR="00C440AF" w:rsidRDefault="00C440AF" w:rsidP="00BE1776">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An author has a valid copyright in an original work at the moment it is created and fixed in a tangible medium of expression. </w:t>
      </w:r>
      <w:r>
        <w:rPr>
          <w:rFonts w:ascii="Times New Roman" w:eastAsia="Arial" w:hAnsi="Times New Roman" w:cs="Times New Roman"/>
          <w:i/>
          <w:sz w:val="26"/>
          <w:szCs w:val="26"/>
        </w:rPr>
        <w:t>See</w:t>
      </w:r>
      <w:r>
        <w:rPr>
          <w:rFonts w:ascii="Times New Roman" w:eastAsia="Arial" w:hAnsi="Times New Roman" w:cs="Times New Roman"/>
          <w:sz w:val="26"/>
          <w:szCs w:val="26"/>
        </w:rPr>
        <w:t xml:space="preserve"> 17 U.S.C. § 102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numberingChange w:id="2" w:author="Author" w:original="(a)"/>
        </w:fldChar>
      </w:r>
      <w:r>
        <w:rPr>
          <w:rFonts w:ascii="Times New Roman" w:eastAsia="Arial" w:hAnsi="Times New Roman" w:cs="Times New Roman"/>
          <w:sz w:val="26"/>
          <w:szCs w:val="26"/>
        </w:rPr>
        <w:t xml:space="preserve">; </w:t>
      </w:r>
      <w:proofErr w:type="spellStart"/>
      <w:r>
        <w:rPr>
          <w:rFonts w:ascii="Times New Roman" w:eastAsia="Arial" w:hAnsi="Times New Roman" w:cs="Times New Roman"/>
          <w:i/>
          <w:sz w:val="26"/>
          <w:szCs w:val="26"/>
        </w:rPr>
        <w:t>McCaskill</w:t>
      </w:r>
      <w:proofErr w:type="spellEnd"/>
      <w:r>
        <w:rPr>
          <w:rFonts w:ascii="Times New Roman" w:eastAsia="Arial" w:hAnsi="Times New Roman" w:cs="Times New Roman"/>
          <w:i/>
          <w:sz w:val="26"/>
          <w:szCs w:val="26"/>
        </w:rPr>
        <w:t xml:space="preserve"> v. Ray</w:t>
      </w:r>
      <w:r w:rsidR="00593892">
        <w:rPr>
          <w:rFonts w:ascii="Times New Roman" w:eastAsia="Arial" w:hAnsi="Times New Roman" w:cs="Times New Roman"/>
          <w:sz w:val="26"/>
          <w:szCs w:val="26"/>
        </w:rPr>
        <w:t>, 279 Fed. App</w:t>
      </w:r>
      <w:r>
        <w:rPr>
          <w:rFonts w:ascii="Times New Roman" w:eastAsia="Arial" w:hAnsi="Times New Roman" w:cs="Times New Roman"/>
          <w:sz w:val="26"/>
          <w:szCs w:val="26"/>
        </w:rPr>
        <w:t>x 913, 916 (11</w:t>
      </w:r>
      <w:r w:rsidR="00127EB5">
        <w:rPr>
          <w:rFonts w:ascii="Times New Roman" w:eastAsia="Arial" w:hAnsi="Times New Roman" w:cs="Times New Roman"/>
          <w:sz w:val="26"/>
          <w:szCs w:val="26"/>
        </w:rPr>
        <w:t>th</w:t>
      </w:r>
      <w:r>
        <w:rPr>
          <w:rFonts w:ascii="Times New Roman" w:eastAsia="Arial" w:hAnsi="Times New Roman" w:cs="Times New Roman"/>
          <w:sz w:val="26"/>
          <w:szCs w:val="26"/>
        </w:rPr>
        <w:t xml:space="preserve"> Cir. 2008) (citing </w:t>
      </w:r>
      <w:r>
        <w:rPr>
          <w:rFonts w:ascii="Times New Roman" w:eastAsia="Arial" w:hAnsi="Times New Roman" w:cs="Times New Roman"/>
          <w:i/>
          <w:sz w:val="26"/>
          <w:szCs w:val="26"/>
        </w:rPr>
        <w:t>Original Appalachian Artworks, Inc. v. Toy Loft, Inc.</w:t>
      </w:r>
      <w:r>
        <w:rPr>
          <w:rFonts w:ascii="Times New Roman" w:eastAsia="Arial" w:hAnsi="Times New Roman" w:cs="Times New Roman"/>
          <w:sz w:val="26"/>
          <w:szCs w:val="26"/>
        </w:rPr>
        <w:t>, 684 F.2d 821, 823 n.1 (11</w:t>
      </w:r>
      <w:r w:rsidR="00127EB5">
        <w:rPr>
          <w:rFonts w:ascii="Times New Roman" w:eastAsia="Arial" w:hAnsi="Times New Roman" w:cs="Times New Roman"/>
          <w:sz w:val="26"/>
          <w:szCs w:val="26"/>
        </w:rPr>
        <w:t>th</w:t>
      </w:r>
      <w:r>
        <w:rPr>
          <w:rFonts w:ascii="Times New Roman" w:eastAsia="Arial" w:hAnsi="Times New Roman" w:cs="Times New Roman"/>
          <w:sz w:val="26"/>
          <w:szCs w:val="26"/>
        </w:rPr>
        <w:t xml:space="preserve"> Cir. 1982)). “Copyright registration is not a prerequisite to copyright protection. Moreover, registration of a copyright ‘is not obligatory, although registration is a prerequisite to an infringement suit in certain circumstances and also is a prerequisite to certain infringement remedies.’” </w:t>
      </w:r>
      <w:r>
        <w:rPr>
          <w:rFonts w:ascii="Times New Roman" w:eastAsia="Arial" w:hAnsi="Times New Roman" w:cs="Times New Roman"/>
          <w:i/>
          <w:sz w:val="26"/>
          <w:szCs w:val="26"/>
        </w:rPr>
        <w:t>Id</w:t>
      </w:r>
      <w:r>
        <w:rPr>
          <w:rFonts w:ascii="Times New Roman" w:eastAsia="Arial" w:hAnsi="Times New Roman" w:cs="Times New Roman"/>
          <w:sz w:val="26"/>
          <w:szCs w:val="26"/>
        </w:rPr>
        <w:t xml:space="preserve">. (internal citation omitted); </w:t>
      </w:r>
      <w:r>
        <w:rPr>
          <w:rFonts w:ascii="Times New Roman" w:eastAsia="Arial" w:hAnsi="Times New Roman" w:cs="Times New Roman"/>
          <w:i/>
          <w:sz w:val="26"/>
          <w:szCs w:val="26"/>
        </w:rPr>
        <w:t>see also</w:t>
      </w:r>
      <w:r>
        <w:rPr>
          <w:rFonts w:ascii="Times New Roman" w:eastAsia="Arial" w:hAnsi="Times New Roman" w:cs="Times New Roman"/>
          <w:sz w:val="26"/>
          <w:szCs w:val="26"/>
        </w:rPr>
        <w:t xml:space="preserve"> 17 U.S.C. §§ 408, 411, 412.</w:t>
      </w:r>
    </w:p>
    <w:p w:rsidR="00725167" w:rsidRPr="006E19CC" w:rsidRDefault="00C440AF" w:rsidP="00BE1776">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A certificate of copyright registration is refused only if it falls outside the broad category of matter eligible for copyright registration. </w:t>
      </w:r>
      <w:r>
        <w:rPr>
          <w:rFonts w:ascii="Times New Roman" w:eastAsia="Arial" w:hAnsi="Times New Roman" w:cs="Times New Roman"/>
          <w:i/>
          <w:sz w:val="26"/>
          <w:szCs w:val="26"/>
        </w:rPr>
        <w:t>See</w:t>
      </w:r>
      <w:r>
        <w:rPr>
          <w:rFonts w:ascii="Times New Roman" w:eastAsia="Arial" w:hAnsi="Times New Roman" w:cs="Times New Roman"/>
          <w:sz w:val="26"/>
          <w:szCs w:val="26"/>
        </w:rPr>
        <w:t xml:space="preserve"> 17 U.S.C. § 410</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numberingChange w:id="3" w:author="Author" w:original="(a)"/>
        </w:fldChar>
      </w:r>
      <w:r>
        <w:rPr>
          <w:rFonts w:ascii="Times New Roman" w:eastAsia="Arial" w:hAnsi="Times New Roman" w:cs="Times New Roman"/>
          <w:sz w:val="26"/>
          <w:szCs w:val="26"/>
        </w:rPr>
        <w:t>.</w:t>
      </w:r>
    </w:p>
    <w:sectPr w:rsidR="00725167" w:rsidRPr="006E19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F26" w:rsidRDefault="00951F26" w:rsidP="00951F26">
      <w:pPr>
        <w:spacing w:after="0" w:line="240" w:lineRule="auto"/>
      </w:pPr>
      <w:r>
        <w:separator/>
      </w:r>
    </w:p>
  </w:endnote>
  <w:endnote w:type="continuationSeparator" w:id="0">
    <w:p w:rsidR="00951F26" w:rsidRDefault="00951F26" w:rsidP="00951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F26" w:rsidRDefault="00951F26" w:rsidP="00951F26">
      <w:pPr>
        <w:spacing w:after="0" w:line="240" w:lineRule="auto"/>
      </w:pPr>
      <w:r>
        <w:separator/>
      </w:r>
    </w:p>
  </w:footnote>
  <w:footnote w:type="continuationSeparator" w:id="0">
    <w:p w:rsidR="00951F26" w:rsidRDefault="00951F26" w:rsidP="00951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95"/>
    <w:rsid w:val="00014B03"/>
    <w:rsid w:val="00033E23"/>
    <w:rsid w:val="000A1C0D"/>
    <w:rsid w:val="0012451E"/>
    <w:rsid w:val="00127EB5"/>
    <w:rsid w:val="001E02CA"/>
    <w:rsid w:val="001E17DC"/>
    <w:rsid w:val="001E531F"/>
    <w:rsid w:val="00240B28"/>
    <w:rsid w:val="002840A9"/>
    <w:rsid w:val="002B5D87"/>
    <w:rsid w:val="002B67EE"/>
    <w:rsid w:val="003C6FF2"/>
    <w:rsid w:val="00427B27"/>
    <w:rsid w:val="00503F77"/>
    <w:rsid w:val="005819CC"/>
    <w:rsid w:val="00593892"/>
    <w:rsid w:val="00695E01"/>
    <w:rsid w:val="006E19CC"/>
    <w:rsid w:val="00703AA4"/>
    <w:rsid w:val="00725167"/>
    <w:rsid w:val="0076151A"/>
    <w:rsid w:val="00782A84"/>
    <w:rsid w:val="007B150F"/>
    <w:rsid w:val="007B74C2"/>
    <w:rsid w:val="007D42A6"/>
    <w:rsid w:val="0081575C"/>
    <w:rsid w:val="00854FFE"/>
    <w:rsid w:val="0089546D"/>
    <w:rsid w:val="008A602D"/>
    <w:rsid w:val="008B5673"/>
    <w:rsid w:val="00927349"/>
    <w:rsid w:val="009454D2"/>
    <w:rsid w:val="00951F26"/>
    <w:rsid w:val="009A03FE"/>
    <w:rsid w:val="009B08F4"/>
    <w:rsid w:val="00A17554"/>
    <w:rsid w:val="00A32720"/>
    <w:rsid w:val="00A45395"/>
    <w:rsid w:val="00AA38FA"/>
    <w:rsid w:val="00AD447F"/>
    <w:rsid w:val="00B605E7"/>
    <w:rsid w:val="00BA403B"/>
    <w:rsid w:val="00BA604B"/>
    <w:rsid w:val="00BD7417"/>
    <w:rsid w:val="00BE1776"/>
    <w:rsid w:val="00C014DB"/>
    <w:rsid w:val="00C440AF"/>
    <w:rsid w:val="00C473BC"/>
    <w:rsid w:val="00C60BF1"/>
    <w:rsid w:val="00DC18AE"/>
    <w:rsid w:val="00DD3EED"/>
    <w:rsid w:val="00E14061"/>
    <w:rsid w:val="00E33549"/>
    <w:rsid w:val="00E60CBF"/>
    <w:rsid w:val="00E7659F"/>
    <w:rsid w:val="00E83270"/>
    <w:rsid w:val="00F9797A"/>
    <w:rsid w:val="00FE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paragraph" w:styleId="Header">
    <w:name w:val="header"/>
    <w:basedOn w:val="Normal"/>
    <w:link w:val="HeaderChar"/>
    <w:uiPriority w:val="99"/>
    <w:unhideWhenUsed/>
    <w:rsid w:val="00951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F26"/>
  </w:style>
  <w:style w:type="paragraph" w:styleId="Footer">
    <w:name w:val="footer"/>
    <w:basedOn w:val="Normal"/>
    <w:link w:val="FooterChar"/>
    <w:uiPriority w:val="99"/>
    <w:unhideWhenUsed/>
    <w:rsid w:val="00951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paragraph" w:styleId="Header">
    <w:name w:val="header"/>
    <w:basedOn w:val="Normal"/>
    <w:link w:val="HeaderChar"/>
    <w:uiPriority w:val="99"/>
    <w:unhideWhenUsed/>
    <w:rsid w:val="00951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F26"/>
  </w:style>
  <w:style w:type="paragraph" w:styleId="Footer">
    <w:name w:val="footer"/>
    <w:basedOn w:val="Normal"/>
    <w:link w:val="FooterChar"/>
    <w:uiPriority w:val="99"/>
    <w:unhideWhenUsed/>
    <w:rsid w:val="00951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2017-08-23T14:37:00Z</dcterms:created>
  <dcterms:modified xsi:type="dcterms:W3CDTF">2017-08-23T14:37:00Z</dcterms:modified>
</cp:coreProperties>
</file>