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76F7E" w14:textId="77777777" w:rsidR="00674D8A" w:rsidRPr="00740713" w:rsidRDefault="00674D8A" w:rsidP="00740713">
      <w:pPr>
        <w:spacing w:after="200" w:line="240" w:lineRule="auto"/>
        <w:rPr>
          <w:rFonts w:ascii="Times New Roman" w:hAnsi="Times New Roman" w:cs="Times New Roman"/>
          <w:b/>
          <w:bCs/>
          <w:sz w:val="26"/>
          <w:szCs w:val="26"/>
          <w:u w:val="single"/>
        </w:rPr>
      </w:pPr>
      <w:r w:rsidRPr="00740713">
        <w:rPr>
          <w:rFonts w:ascii="Times New Roman" w:hAnsi="Times New Roman" w:cs="Times New Roman"/>
          <w:b/>
          <w:bCs/>
          <w:sz w:val="26"/>
          <w:szCs w:val="26"/>
          <w:u w:val="single"/>
        </w:rPr>
        <w:t>ANNOTATIONS AND COMMENTS</w:t>
      </w:r>
    </w:p>
    <w:p w14:paraId="685D1D1C" w14:textId="77777777" w:rsidR="00674D8A" w:rsidRPr="00740713" w:rsidRDefault="00674D8A" w:rsidP="00740713">
      <w:pPr>
        <w:spacing w:after="200" w:line="240" w:lineRule="auto"/>
        <w:jc w:val="both"/>
        <w:rPr>
          <w:rFonts w:ascii="Times New Roman" w:hAnsi="Times New Roman" w:cs="Times New Roman"/>
          <w:sz w:val="26"/>
          <w:szCs w:val="26"/>
        </w:rPr>
      </w:pPr>
      <w:r w:rsidRPr="00740713">
        <w:rPr>
          <w:rFonts w:ascii="Times New Roman" w:hAnsi="Times New Roman" w:cs="Times New Roman"/>
          <w:sz w:val="26"/>
          <w:szCs w:val="26"/>
        </w:rPr>
        <w:t xml:space="preserve">The Committee took inspiration from James B. Helmer and Erin M. Campbell’s law review article, </w:t>
      </w:r>
      <w:r w:rsidRPr="00740713">
        <w:rPr>
          <w:rFonts w:ascii="Times New Roman" w:hAnsi="Times New Roman" w:cs="Times New Roman"/>
          <w:i/>
          <w:iCs/>
          <w:sz w:val="26"/>
          <w:szCs w:val="26"/>
        </w:rPr>
        <w:t>Jury Instructions for False Claims Act Cases</w:t>
      </w:r>
      <w:r w:rsidRPr="00740713">
        <w:rPr>
          <w:rFonts w:ascii="Times New Roman" w:hAnsi="Times New Roman" w:cs="Times New Roman"/>
          <w:sz w:val="26"/>
          <w:szCs w:val="26"/>
        </w:rPr>
        <w:t xml:space="preserve">, in drafting these pattern jury instructions. 84 U. Cin. L. Rev. 943 (2016).  </w:t>
      </w:r>
    </w:p>
    <w:p w14:paraId="5732A5B8" w14:textId="77777777" w:rsidR="00674D8A" w:rsidRPr="00740713" w:rsidRDefault="00674D8A" w:rsidP="00740713">
      <w:pPr>
        <w:spacing w:after="200" w:line="240" w:lineRule="auto"/>
        <w:jc w:val="both"/>
        <w:rPr>
          <w:rFonts w:ascii="Times New Roman" w:hAnsi="Times New Roman" w:cs="Times New Roman"/>
          <w:sz w:val="26"/>
          <w:szCs w:val="26"/>
        </w:rPr>
      </w:pPr>
      <w:r w:rsidRPr="00740713">
        <w:rPr>
          <w:rFonts w:ascii="Times New Roman" w:hAnsi="Times New Roman" w:cs="Times New Roman"/>
          <w:sz w:val="26"/>
          <w:szCs w:val="26"/>
        </w:rPr>
        <w:t xml:space="preserve">Courts have previously excluded evidence of the Government’s decision of nonintervention on relevance grounds under Federal Rules of Evidence 401 and 402, because without knowing the actual reasoning behind the Government’s non-intervention, the evidence of nonintervention itself has no probative value and is irrelevant. </w:t>
      </w:r>
      <w:r w:rsidRPr="00740713">
        <w:rPr>
          <w:rFonts w:ascii="Times New Roman" w:hAnsi="Times New Roman" w:cs="Times New Roman"/>
          <w:i/>
          <w:iCs/>
          <w:sz w:val="26"/>
          <w:szCs w:val="26"/>
        </w:rPr>
        <w:t>See, e.g.</w:t>
      </w:r>
      <w:r w:rsidRPr="00740713">
        <w:rPr>
          <w:rFonts w:ascii="Times New Roman" w:hAnsi="Times New Roman" w:cs="Times New Roman"/>
          <w:sz w:val="26"/>
          <w:szCs w:val="26"/>
        </w:rPr>
        <w:t>,</w:t>
      </w:r>
      <w:r w:rsidRPr="00740713">
        <w:rPr>
          <w:rFonts w:ascii="Times New Roman" w:hAnsi="Times New Roman" w:cs="Times New Roman"/>
          <w:i/>
          <w:iCs/>
          <w:sz w:val="26"/>
          <w:szCs w:val="26"/>
        </w:rPr>
        <w:t xml:space="preserve"> United States ex rel. Raven v. Ga. Cancer Specialists I, P.C.</w:t>
      </w:r>
      <w:r w:rsidRPr="00740713">
        <w:rPr>
          <w:rFonts w:ascii="Times New Roman" w:hAnsi="Times New Roman" w:cs="Times New Roman"/>
          <w:sz w:val="26"/>
          <w:szCs w:val="26"/>
        </w:rPr>
        <w:t xml:space="preserve">, No. 11-cv-00994, 2021 WL 4080863, at *2 (N.D. Ga. Mar. 30, 2021).   </w:t>
      </w:r>
    </w:p>
    <w:p w14:paraId="4D0C68EC" w14:textId="77777777" w:rsidR="00674D8A" w:rsidRPr="00740713" w:rsidRDefault="00674D8A" w:rsidP="00740713">
      <w:pPr>
        <w:spacing w:after="200" w:line="240" w:lineRule="auto"/>
        <w:jc w:val="both"/>
        <w:rPr>
          <w:rFonts w:ascii="Times New Roman" w:hAnsi="Times New Roman" w:cs="Times New Roman"/>
          <w:sz w:val="26"/>
          <w:szCs w:val="26"/>
        </w:rPr>
      </w:pPr>
      <w:r w:rsidRPr="00740713">
        <w:rPr>
          <w:rFonts w:ascii="Times New Roman" w:hAnsi="Times New Roman" w:cs="Times New Roman"/>
          <w:sz w:val="26"/>
          <w:szCs w:val="26"/>
        </w:rPr>
        <w:t xml:space="preserve">It is also improper for the court to instruct or otherwise tell the jury about the False Claims Act’s provisions allowing for treble damages and double damages in retaliation claims. </w:t>
      </w:r>
      <w:r w:rsidRPr="00740713">
        <w:rPr>
          <w:rFonts w:ascii="Times New Roman" w:hAnsi="Times New Roman" w:cs="Times New Roman"/>
          <w:i/>
          <w:iCs/>
          <w:sz w:val="26"/>
          <w:szCs w:val="26"/>
        </w:rPr>
        <w:t>See United States ex rel. Raven</w:t>
      </w:r>
      <w:r w:rsidRPr="00740713">
        <w:rPr>
          <w:rFonts w:ascii="Times New Roman" w:hAnsi="Times New Roman" w:cs="Times New Roman"/>
          <w:sz w:val="26"/>
          <w:szCs w:val="26"/>
        </w:rPr>
        <w:t xml:space="preserve">, 2021 WL 4080863, at *4; </w:t>
      </w:r>
      <w:r w:rsidRPr="00740713">
        <w:rPr>
          <w:rFonts w:ascii="Times New Roman" w:hAnsi="Times New Roman" w:cs="Times New Roman"/>
          <w:i/>
          <w:iCs/>
          <w:sz w:val="26"/>
          <w:szCs w:val="26"/>
        </w:rPr>
        <w:t>Cook County v. United States ex rel. Chandler</w:t>
      </w:r>
      <w:r w:rsidRPr="00740713">
        <w:rPr>
          <w:rFonts w:ascii="Times New Roman" w:hAnsi="Times New Roman" w:cs="Times New Roman"/>
          <w:sz w:val="26"/>
          <w:szCs w:val="26"/>
        </w:rPr>
        <w:t xml:space="preserve">, 538 U.S. 119, 132 (2003); James B. Helmer, Jr. &amp; Erin M. Campbell, </w:t>
      </w:r>
      <w:r w:rsidRPr="00740713">
        <w:rPr>
          <w:rFonts w:ascii="Times New Roman" w:hAnsi="Times New Roman" w:cs="Times New Roman"/>
          <w:i/>
          <w:iCs/>
          <w:sz w:val="26"/>
          <w:szCs w:val="26"/>
        </w:rPr>
        <w:t>Jury Instructions for False Claims Act Cases</w:t>
      </w:r>
      <w:r w:rsidRPr="00740713">
        <w:rPr>
          <w:rFonts w:ascii="Times New Roman" w:hAnsi="Times New Roman" w:cs="Times New Roman"/>
          <w:sz w:val="26"/>
          <w:szCs w:val="26"/>
        </w:rPr>
        <w:t>, 84 U. Cin. L. Rev. 943, 959, 1010 (2016);</w:t>
      </w:r>
      <w:r w:rsidRPr="00740713">
        <w:rPr>
          <w:rFonts w:ascii="Times New Roman" w:hAnsi="Times New Roman" w:cs="Times New Roman"/>
          <w:i/>
          <w:iCs/>
          <w:sz w:val="26"/>
          <w:szCs w:val="26"/>
        </w:rPr>
        <w:t xml:space="preserve"> see also Heatransfer Corp. v. Volkswagenwerk, A. G.</w:t>
      </w:r>
      <w:r w:rsidRPr="00740713">
        <w:rPr>
          <w:rFonts w:ascii="Times New Roman" w:hAnsi="Times New Roman" w:cs="Times New Roman"/>
          <w:sz w:val="26"/>
          <w:szCs w:val="26"/>
        </w:rPr>
        <w:t>, 553 F.2d 964, 989 n.21 (5th Cir. 1977) (upholding the district court’s refusal to inform the jury that any damages would be trebled in an anti-trust case).</w:t>
      </w:r>
    </w:p>
    <w:p w14:paraId="702200D8" w14:textId="77777777" w:rsidR="00674D8A" w:rsidRPr="00740713" w:rsidRDefault="00674D8A" w:rsidP="00740713">
      <w:pPr>
        <w:spacing w:after="200" w:line="240" w:lineRule="auto"/>
        <w:jc w:val="both"/>
        <w:rPr>
          <w:rFonts w:ascii="Times New Roman" w:hAnsi="Times New Roman" w:cs="Times New Roman"/>
          <w:sz w:val="26"/>
          <w:szCs w:val="26"/>
        </w:rPr>
      </w:pPr>
      <w:r w:rsidRPr="00740713">
        <w:rPr>
          <w:rFonts w:ascii="Times New Roman" w:hAnsi="Times New Roman" w:cs="Times New Roman"/>
          <w:sz w:val="26"/>
          <w:szCs w:val="26"/>
        </w:rPr>
        <w:t>The definitions of “knowing,” “knowingly,” “claim,” “obligation,” and “material” come from the Act, 31 U.S.C. §§ 3729(b)(1)–(4). The Committee also clarifies key definitions under the False Claims Act:</w:t>
      </w:r>
    </w:p>
    <w:p w14:paraId="638759E0" w14:textId="77777777" w:rsidR="00674D8A" w:rsidRPr="00740713" w:rsidRDefault="00674D8A" w:rsidP="00740713">
      <w:pPr>
        <w:pStyle w:val="ListParagraph"/>
        <w:numPr>
          <w:ilvl w:val="0"/>
          <w:numId w:val="1"/>
        </w:numPr>
        <w:spacing w:after="200" w:line="240" w:lineRule="auto"/>
        <w:jc w:val="both"/>
        <w:rPr>
          <w:rFonts w:ascii="Times New Roman" w:hAnsi="Times New Roman" w:cs="Times New Roman"/>
          <w:sz w:val="26"/>
          <w:szCs w:val="26"/>
        </w:rPr>
      </w:pPr>
      <w:r w:rsidRPr="00740713">
        <w:rPr>
          <w:rFonts w:ascii="Times New Roman" w:hAnsi="Times New Roman" w:cs="Times New Roman"/>
          <w:sz w:val="26"/>
          <w:szCs w:val="26"/>
        </w:rPr>
        <w:t xml:space="preserve">Courts have reversed verdicts where juries were not properly instructed on the definition of “false and fraudulent” statements. The Eleventh Circuit has expressly stated that the FCA requires “objective falsity” — more than a “mere difference of reasonable opinion.” </w:t>
      </w:r>
      <w:r w:rsidRPr="00740713">
        <w:rPr>
          <w:rFonts w:ascii="Times New Roman" w:hAnsi="Times New Roman" w:cs="Times New Roman"/>
          <w:i/>
          <w:iCs/>
          <w:sz w:val="26"/>
          <w:szCs w:val="26"/>
        </w:rPr>
        <w:t>United States v. AseraCare, Inc.</w:t>
      </w:r>
      <w:r w:rsidRPr="00740713">
        <w:rPr>
          <w:rFonts w:ascii="Times New Roman" w:hAnsi="Times New Roman" w:cs="Times New Roman"/>
          <w:sz w:val="26"/>
          <w:szCs w:val="26"/>
        </w:rPr>
        <w:t xml:space="preserve">, 938 F.3d 1278, 1297 (11th Cir. 2019).  Objective falsehood can be proven, for example, where “no reasonable physician” could come to a conclusion “given the relevant medical records,” but not where physicians could reasonably disagree. </w:t>
      </w:r>
      <w:r w:rsidRPr="00740713">
        <w:rPr>
          <w:rFonts w:ascii="Times New Roman" w:hAnsi="Times New Roman" w:cs="Times New Roman"/>
          <w:i/>
          <w:iCs/>
          <w:sz w:val="26"/>
          <w:szCs w:val="26"/>
        </w:rPr>
        <w:t>Id.</w:t>
      </w:r>
    </w:p>
    <w:p w14:paraId="5A8FC682" w14:textId="77777777" w:rsidR="00674D8A" w:rsidRPr="00740713" w:rsidRDefault="00674D8A" w:rsidP="00740713">
      <w:pPr>
        <w:pStyle w:val="ListParagraph"/>
        <w:spacing w:after="200" w:line="240" w:lineRule="auto"/>
        <w:jc w:val="both"/>
        <w:rPr>
          <w:rFonts w:ascii="Times New Roman" w:hAnsi="Times New Roman" w:cs="Times New Roman"/>
          <w:sz w:val="26"/>
          <w:szCs w:val="26"/>
        </w:rPr>
      </w:pPr>
    </w:p>
    <w:p w14:paraId="58BF44CA" w14:textId="77777777" w:rsidR="00674D8A" w:rsidRPr="00740713" w:rsidRDefault="00674D8A" w:rsidP="00740713">
      <w:pPr>
        <w:pStyle w:val="ListParagraph"/>
        <w:numPr>
          <w:ilvl w:val="0"/>
          <w:numId w:val="1"/>
        </w:numPr>
        <w:spacing w:before="240" w:after="200" w:line="240" w:lineRule="auto"/>
        <w:jc w:val="both"/>
        <w:rPr>
          <w:rFonts w:ascii="Times New Roman" w:hAnsi="Times New Roman" w:cs="Times New Roman"/>
          <w:sz w:val="26"/>
          <w:szCs w:val="26"/>
        </w:rPr>
      </w:pPr>
      <w:r w:rsidRPr="00740713">
        <w:rPr>
          <w:rFonts w:ascii="Times New Roman" w:hAnsi="Times New Roman" w:cs="Times New Roman"/>
          <w:sz w:val="26"/>
          <w:szCs w:val="26"/>
        </w:rPr>
        <w:t xml:space="preserve">The Committee notes the Supreme Court’s decision in </w:t>
      </w:r>
      <w:r w:rsidRPr="00740713">
        <w:rPr>
          <w:rFonts w:ascii="Times New Roman" w:hAnsi="Times New Roman" w:cs="Times New Roman"/>
          <w:i/>
          <w:iCs/>
          <w:sz w:val="26"/>
          <w:szCs w:val="26"/>
        </w:rPr>
        <w:t>Universal Health Services, Inc.</w:t>
      </w:r>
      <w:r w:rsidRPr="00740713">
        <w:rPr>
          <w:rFonts w:ascii="Times New Roman" w:hAnsi="Times New Roman" w:cs="Times New Roman"/>
          <w:sz w:val="26"/>
          <w:szCs w:val="26"/>
        </w:rPr>
        <w:t xml:space="preserve"> </w:t>
      </w:r>
      <w:r w:rsidRPr="00740713">
        <w:rPr>
          <w:rFonts w:ascii="Times New Roman" w:hAnsi="Times New Roman" w:cs="Times New Roman"/>
          <w:i/>
          <w:iCs/>
          <w:sz w:val="26"/>
          <w:szCs w:val="26"/>
        </w:rPr>
        <w:t>v. United States</w:t>
      </w:r>
      <w:r w:rsidRPr="00740713">
        <w:rPr>
          <w:rFonts w:ascii="Times New Roman" w:hAnsi="Times New Roman" w:cs="Times New Roman"/>
          <w:sz w:val="26"/>
          <w:szCs w:val="26"/>
        </w:rPr>
        <w:t xml:space="preserve">: “proof of materiality can include . . . evidence that the defendant knows that the Government consistently refuses to pay claims in the mine run of cases based on noncompliance with the particular statutory, regulatory, or contractual requirement.” 579 U.S. 176, 195 (2016) (alteration added). But “if the Government pays a particular claim in full despite its actual knowledge that certain requirements were violated, that is very strong evidence that those requirements are not material.” </w:t>
      </w:r>
      <w:r w:rsidRPr="00740713">
        <w:rPr>
          <w:rFonts w:ascii="Times New Roman" w:hAnsi="Times New Roman" w:cs="Times New Roman"/>
          <w:i/>
          <w:iCs/>
          <w:sz w:val="26"/>
          <w:szCs w:val="26"/>
        </w:rPr>
        <w:t>Ibid.</w:t>
      </w:r>
      <w:r w:rsidRPr="00740713">
        <w:rPr>
          <w:rFonts w:ascii="Times New Roman" w:hAnsi="Times New Roman" w:cs="Times New Roman"/>
          <w:sz w:val="26"/>
          <w:szCs w:val="26"/>
        </w:rPr>
        <w:t xml:space="preserve"> By itself, the fact that the defendant knows that the Government would be entitled to refuse payment were it aware of the violation is not enough to show materiality. </w:t>
      </w:r>
      <w:r w:rsidRPr="00740713">
        <w:rPr>
          <w:rFonts w:ascii="Times New Roman" w:hAnsi="Times New Roman" w:cs="Times New Roman"/>
          <w:i/>
          <w:iCs/>
          <w:sz w:val="26"/>
          <w:szCs w:val="26"/>
        </w:rPr>
        <w:t>See ibid.</w:t>
      </w:r>
      <w:r w:rsidRPr="00740713">
        <w:rPr>
          <w:rFonts w:ascii="Times New Roman" w:hAnsi="Times New Roman" w:cs="Times New Roman"/>
          <w:sz w:val="26"/>
          <w:szCs w:val="26"/>
        </w:rPr>
        <w:t xml:space="preserve">  </w:t>
      </w:r>
    </w:p>
    <w:p w14:paraId="636E6A76" w14:textId="77777777" w:rsidR="00674D8A" w:rsidRPr="00740713" w:rsidRDefault="00674D8A" w:rsidP="00740713">
      <w:pPr>
        <w:pStyle w:val="ListParagraph"/>
        <w:spacing w:after="200" w:line="240" w:lineRule="auto"/>
        <w:jc w:val="both"/>
        <w:rPr>
          <w:rFonts w:ascii="Times New Roman" w:hAnsi="Times New Roman" w:cs="Times New Roman"/>
          <w:sz w:val="26"/>
          <w:szCs w:val="26"/>
        </w:rPr>
      </w:pPr>
    </w:p>
    <w:p w14:paraId="1DF7125A" w14:textId="77777777" w:rsidR="00674D8A" w:rsidRPr="00740713" w:rsidRDefault="00674D8A" w:rsidP="00740713">
      <w:pPr>
        <w:pStyle w:val="ListParagraph"/>
        <w:numPr>
          <w:ilvl w:val="0"/>
          <w:numId w:val="1"/>
        </w:numPr>
        <w:spacing w:after="200" w:line="240" w:lineRule="auto"/>
        <w:jc w:val="both"/>
        <w:rPr>
          <w:rFonts w:ascii="Times New Roman" w:hAnsi="Times New Roman" w:cs="Times New Roman"/>
          <w:sz w:val="26"/>
          <w:szCs w:val="26"/>
        </w:rPr>
      </w:pPr>
      <w:r w:rsidRPr="00740713">
        <w:rPr>
          <w:rFonts w:ascii="Times New Roman" w:hAnsi="Times New Roman" w:cs="Times New Roman"/>
          <w:sz w:val="26"/>
          <w:szCs w:val="26"/>
        </w:rPr>
        <w:t xml:space="preserve">Claims are still false even when some product or services were supplied to the Government. </w:t>
      </w:r>
      <w:r w:rsidRPr="00740713">
        <w:rPr>
          <w:rFonts w:ascii="Times New Roman" w:hAnsi="Times New Roman" w:cs="Times New Roman"/>
          <w:i/>
          <w:iCs/>
          <w:sz w:val="26"/>
          <w:szCs w:val="26"/>
        </w:rPr>
        <w:t>See, e.g.</w:t>
      </w:r>
      <w:r w:rsidRPr="00740713">
        <w:rPr>
          <w:rFonts w:ascii="Times New Roman" w:hAnsi="Times New Roman" w:cs="Times New Roman"/>
          <w:sz w:val="26"/>
          <w:szCs w:val="26"/>
        </w:rPr>
        <w:t xml:space="preserve">, </w:t>
      </w:r>
      <w:r w:rsidRPr="00740713">
        <w:rPr>
          <w:rFonts w:ascii="Times New Roman" w:hAnsi="Times New Roman" w:cs="Times New Roman"/>
          <w:i/>
          <w:iCs/>
          <w:sz w:val="26"/>
          <w:szCs w:val="26"/>
        </w:rPr>
        <w:t>United States v. Aerodex, Inc.</w:t>
      </w:r>
      <w:r w:rsidRPr="00740713">
        <w:rPr>
          <w:rFonts w:ascii="Times New Roman" w:hAnsi="Times New Roman" w:cs="Times New Roman"/>
          <w:sz w:val="26"/>
          <w:szCs w:val="26"/>
        </w:rPr>
        <w:t>, 469 F.2d 1003, 1007 (5th Cir. 1972).</w:t>
      </w:r>
    </w:p>
    <w:p w14:paraId="6C8C3CD6" w14:textId="77777777" w:rsidR="0011570F" w:rsidRPr="00740713" w:rsidRDefault="0011570F" w:rsidP="00740713">
      <w:pPr>
        <w:spacing w:after="200" w:line="240" w:lineRule="auto"/>
        <w:rPr>
          <w:sz w:val="26"/>
          <w:szCs w:val="26"/>
        </w:rPr>
      </w:pPr>
    </w:p>
    <w:sectPr w:rsidR="0011570F" w:rsidRPr="007407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C3639E"/>
    <w:multiLevelType w:val="hybridMultilevel"/>
    <w:tmpl w:val="BA22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4660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D8A"/>
    <w:rsid w:val="00004924"/>
    <w:rsid w:val="00004FE5"/>
    <w:rsid w:val="00031EC7"/>
    <w:rsid w:val="0011570F"/>
    <w:rsid w:val="002A3912"/>
    <w:rsid w:val="003C09AD"/>
    <w:rsid w:val="00434938"/>
    <w:rsid w:val="005547DD"/>
    <w:rsid w:val="005811D2"/>
    <w:rsid w:val="00674D8A"/>
    <w:rsid w:val="00716077"/>
    <w:rsid w:val="00740713"/>
    <w:rsid w:val="00962DFE"/>
    <w:rsid w:val="009A51F4"/>
    <w:rsid w:val="00EB3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A2398"/>
  <w15:chartTrackingRefBased/>
  <w15:docId w15:val="{864F8B55-2082-4E07-928F-08539A91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D8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D8A"/>
    <w:pPr>
      <w:ind w:left="720"/>
      <w:contextualSpacing/>
    </w:pPr>
  </w:style>
  <w:style w:type="paragraph" w:styleId="Revision">
    <w:name w:val="Revision"/>
    <w:hidden/>
    <w:uiPriority w:val="99"/>
    <w:semiHidden/>
    <w:rsid w:val="002A391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2600</Characters>
  <Application>Microsoft Office Word</Application>
  <DocSecurity>4</DocSecurity>
  <Lines>21</Lines>
  <Paragraphs>6</Paragraphs>
  <ScaleCrop>false</ScaleCrop>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Spence</dc:creator>
  <cp:keywords/>
  <dc:description/>
  <cp:lastModifiedBy>Kathleen Adams</cp:lastModifiedBy>
  <cp:revision>2</cp:revision>
  <dcterms:created xsi:type="dcterms:W3CDTF">2025-09-02T19:13:00Z</dcterms:created>
  <dcterms:modified xsi:type="dcterms:W3CDTF">2025-09-02T19:13:00Z</dcterms:modified>
</cp:coreProperties>
</file>