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49BB" w14:textId="77777777" w:rsidR="00352274" w:rsidRPr="00C21F1D" w:rsidRDefault="00352274" w:rsidP="00C21F1D">
      <w:pPr>
        <w:spacing w:after="200" w:line="240" w:lineRule="auto"/>
        <w:rPr>
          <w:rFonts w:ascii="Times New Roman" w:hAnsi="Times New Roman" w:cs="Times New Roman"/>
          <w:b/>
          <w:bCs/>
          <w:sz w:val="26"/>
          <w:szCs w:val="26"/>
          <w:u w:val="single"/>
        </w:rPr>
      </w:pPr>
      <w:r w:rsidRPr="00C21F1D">
        <w:rPr>
          <w:rFonts w:ascii="Times New Roman" w:hAnsi="Times New Roman" w:cs="Times New Roman"/>
          <w:b/>
          <w:bCs/>
          <w:sz w:val="26"/>
          <w:szCs w:val="26"/>
          <w:u w:val="single"/>
        </w:rPr>
        <w:t>ANNOTATIONS AND COMMENTS</w:t>
      </w:r>
    </w:p>
    <w:p w14:paraId="5EF5642C" w14:textId="77777777" w:rsidR="00352274" w:rsidRPr="00C21F1D" w:rsidRDefault="00352274" w:rsidP="00C21F1D">
      <w:p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The Committee took inspiration from James B. Helmer and Erin M. Campbell’s law review article, </w:t>
      </w:r>
      <w:r w:rsidRPr="00C21F1D">
        <w:rPr>
          <w:rFonts w:ascii="Times New Roman" w:hAnsi="Times New Roman" w:cs="Times New Roman"/>
          <w:i/>
          <w:iCs/>
          <w:sz w:val="26"/>
          <w:szCs w:val="26"/>
        </w:rPr>
        <w:t>Jury Instructions for False Claims Act Cases</w:t>
      </w:r>
      <w:r w:rsidRPr="00C21F1D">
        <w:rPr>
          <w:rFonts w:ascii="Times New Roman" w:hAnsi="Times New Roman" w:cs="Times New Roman"/>
          <w:sz w:val="26"/>
          <w:szCs w:val="26"/>
        </w:rPr>
        <w:t xml:space="preserve">, in drafting these pattern jury instructions. 84 U. Cin. L. Rev. 943 (2016).  </w:t>
      </w:r>
    </w:p>
    <w:p w14:paraId="0710D2A4" w14:textId="77777777" w:rsidR="00352274" w:rsidRPr="00C21F1D" w:rsidRDefault="00352274" w:rsidP="00C21F1D">
      <w:p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C21F1D">
        <w:rPr>
          <w:rFonts w:ascii="Times New Roman" w:hAnsi="Times New Roman" w:cs="Times New Roman"/>
          <w:i/>
          <w:iCs/>
          <w:sz w:val="26"/>
          <w:szCs w:val="26"/>
        </w:rPr>
        <w:t>See, e.g.</w:t>
      </w:r>
      <w:r w:rsidRPr="00C21F1D">
        <w:rPr>
          <w:rFonts w:ascii="Times New Roman" w:hAnsi="Times New Roman" w:cs="Times New Roman"/>
          <w:sz w:val="26"/>
          <w:szCs w:val="26"/>
        </w:rPr>
        <w:t>,</w:t>
      </w:r>
      <w:r w:rsidRPr="00C21F1D">
        <w:rPr>
          <w:rFonts w:ascii="Times New Roman" w:hAnsi="Times New Roman" w:cs="Times New Roman"/>
          <w:i/>
          <w:iCs/>
          <w:sz w:val="26"/>
          <w:szCs w:val="26"/>
        </w:rPr>
        <w:t xml:space="preserve"> United States ex rel. Raven v. Ga. Cancer Specialists I, P.C.</w:t>
      </w:r>
      <w:r w:rsidRPr="00C21F1D">
        <w:rPr>
          <w:rFonts w:ascii="Times New Roman" w:hAnsi="Times New Roman" w:cs="Times New Roman"/>
          <w:sz w:val="26"/>
          <w:szCs w:val="26"/>
        </w:rPr>
        <w:t xml:space="preserve">, No. 11-cv-00994, 2021 WL 4080863, at *2 (N.D. Ga. Mar. 30, 2021).   </w:t>
      </w:r>
    </w:p>
    <w:p w14:paraId="2B6D8B36" w14:textId="77777777" w:rsidR="00352274" w:rsidRPr="00C21F1D" w:rsidRDefault="00352274" w:rsidP="00C21F1D">
      <w:p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C21F1D">
        <w:rPr>
          <w:rFonts w:ascii="Times New Roman" w:hAnsi="Times New Roman" w:cs="Times New Roman"/>
          <w:i/>
          <w:iCs/>
          <w:sz w:val="26"/>
          <w:szCs w:val="26"/>
        </w:rPr>
        <w:t>See United States ex rel. Raven</w:t>
      </w:r>
      <w:r w:rsidRPr="00C21F1D">
        <w:rPr>
          <w:rFonts w:ascii="Times New Roman" w:hAnsi="Times New Roman" w:cs="Times New Roman"/>
          <w:sz w:val="26"/>
          <w:szCs w:val="26"/>
        </w:rPr>
        <w:t xml:space="preserve">, 2021 WL 4080863, at *4; </w:t>
      </w:r>
      <w:r w:rsidRPr="00C21F1D">
        <w:rPr>
          <w:rFonts w:ascii="Times New Roman" w:hAnsi="Times New Roman" w:cs="Times New Roman"/>
          <w:i/>
          <w:iCs/>
          <w:sz w:val="26"/>
          <w:szCs w:val="26"/>
        </w:rPr>
        <w:t>Cook County v. United States ex rel. Chandler</w:t>
      </w:r>
      <w:r w:rsidRPr="00C21F1D">
        <w:rPr>
          <w:rFonts w:ascii="Times New Roman" w:hAnsi="Times New Roman" w:cs="Times New Roman"/>
          <w:sz w:val="26"/>
          <w:szCs w:val="26"/>
        </w:rPr>
        <w:t xml:space="preserve">, 538 U.S. 119, 132 (2003); James B. Helmer, Jr. &amp; Erin M. Campbell, </w:t>
      </w:r>
      <w:r w:rsidRPr="00C21F1D">
        <w:rPr>
          <w:rFonts w:ascii="Times New Roman" w:hAnsi="Times New Roman" w:cs="Times New Roman"/>
          <w:i/>
          <w:iCs/>
          <w:sz w:val="26"/>
          <w:szCs w:val="26"/>
        </w:rPr>
        <w:t>Jury Instructions for False Claims Act Cases</w:t>
      </w:r>
      <w:r w:rsidRPr="00C21F1D">
        <w:rPr>
          <w:rFonts w:ascii="Times New Roman" w:hAnsi="Times New Roman" w:cs="Times New Roman"/>
          <w:sz w:val="26"/>
          <w:szCs w:val="26"/>
        </w:rPr>
        <w:t>, 84 U. Cin. L. Rev. 943, 959, 1010 (2016);</w:t>
      </w:r>
      <w:r w:rsidRPr="00C21F1D">
        <w:rPr>
          <w:rFonts w:ascii="Times New Roman" w:hAnsi="Times New Roman" w:cs="Times New Roman"/>
          <w:i/>
          <w:iCs/>
          <w:sz w:val="26"/>
          <w:szCs w:val="26"/>
        </w:rPr>
        <w:t xml:space="preserve"> see also Heatransfer Corp. v. Volkswagenwerk, A. G.</w:t>
      </w:r>
      <w:r w:rsidRPr="00C21F1D">
        <w:rPr>
          <w:rFonts w:ascii="Times New Roman" w:hAnsi="Times New Roman" w:cs="Times New Roman"/>
          <w:sz w:val="26"/>
          <w:szCs w:val="26"/>
        </w:rPr>
        <w:t>, 553 F.2d 964, 989 n.21 (5th Cir. 1977) (upholding the district court’s refusal to inform the jury that any damages would be trebled in an anti-trust case).</w:t>
      </w:r>
    </w:p>
    <w:p w14:paraId="248261D9" w14:textId="322463D7" w:rsidR="00352274" w:rsidRPr="00C21F1D" w:rsidRDefault="00352274" w:rsidP="00C21F1D">
      <w:p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The Committee also clarifies key definitions under the False Claims Act:</w:t>
      </w:r>
    </w:p>
    <w:p w14:paraId="7357E66F" w14:textId="77777777" w:rsidR="00352274" w:rsidRPr="00C21F1D" w:rsidRDefault="00352274" w:rsidP="00C21F1D">
      <w:pPr>
        <w:pStyle w:val="ListParagraph"/>
        <w:numPr>
          <w:ilvl w:val="0"/>
          <w:numId w:val="1"/>
        </w:num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The “but-for” causation standard applies to claims under the anti-retaliation portion of the False Claims Act. </w:t>
      </w:r>
      <w:r w:rsidRPr="00C21F1D">
        <w:rPr>
          <w:rFonts w:ascii="Times New Roman" w:hAnsi="Times New Roman" w:cs="Times New Roman"/>
          <w:i/>
          <w:iCs/>
          <w:sz w:val="26"/>
          <w:szCs w:val="26"/>
        </w:rPr>
        <w:t>See Nesbitt v. Candler County</w:t>
      </w:r>
      <w:r w:rsidRPr="00C21F1D">
        <w:rPr>
          <w:rFonts w:ascii="Times New Roman" w:hAnsi="Times New Roman" w:cs="Times New Roman"/>
          <w:sz w:val="26"/>
          <w:szCs w:val="26"/>
        </w:rPr>
        <w:t xml:space="preserve">, 945 F.3d 1355, 1359 (11th Cir. 2020). A plaintiff must show that the harm would not have occurred in the absence of the plaintiff’s protected conduct. </w:t>
      </w:r>
      <w:r w:rsidRPr="00C21F1D">
        <w:rPr>
          <w:rFonts w:ascii="Times New Roman" w:hAnsi="Times New Roman" w:cs="Times New Roman"/>
          <w:i/>
          <w:iCs/>
          <w:sz w:val="26"/>
          <w:szCs w:val="26"/>
        </w:rPr>
        <w:t>See id.</w:t>
      </w:r>
      <w:r w:rsidRPr="00C21F1D">
        <w:rPr>
          <w:rFonts w:ascii="Times New Roman" w:hAnsi="Times New Roman" w:cs="Times New Roman"/>
          <w:sz w:val="26"/>
          <w:szCs w:val="26"/>
        </w:rPr>
        <w:t xml:space="preserve"> at 1358.  </w:t>
      </w:r>
    </w:p>
    <w:p w14:paraId="0E301F72" w14:textId="77777777" w:rsidR="00352274" w:rsidRPr="00C21F1D" w:rsidRDefault="00352274" w:rsidP="00C21F1D">
      <w:pPr>
        <w:pStyle w:val="ListParagraph"/>
        <w:spacing w:after="200" w:line="240" w:lineRule="auto"/>
        <w:rPr>
          <w:rFonts w:ascii="Times New Roman" w:hAnsi="Times New Roman" w:cs="Times New Roman"/>
          <w:sz w:val="26"/>
          <w:szCs w:val="26"/>
        </w:rPr>
      </w:pPr>
    </w:p>
    <w:p w14:paraId="67331A46" w14:textId="77777777" w:rsidR="00352274" w:rsidRPr="00C21F1D" w:rsidRDefault="00352274" w:rsidP="00C21F1D">
      <w:pPr>
        <w:pStyle w:val="ListParagraph"/>
        <w:numPr>
          <w:ilvl w:val="0"/>
          <w:numId w:val="1"/>
        </w:num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The 2009 and 2010 amendments to the False Claims Act’s retaliation provision extended protected conduct to “other efforts” to stop fraud. </w:t>
      </w:r>
      <w:r w:rsidRPr="00C21F1D">
        <w:rPr>
          <w:rFonts w:ascii="Times New Roman" w:hAnsi="Times New Roman" w:cs="Times New Roman"/>
          <w:i/>
          <w:iCs/>
          <w:sz w:val="26"/>
          <w:szCs w:val="26"/>
        </w:rPr>
        <w:t>Hickman v. Spirit of Athens, Ala., Inc.</w:t>
      </w:r>
      <w:r w:rsidRPr="00C21F1D">
        <w:rPr>
          <w:rFonts w:ascii="Times New Roman" w:hAnsi="Times New Roman" w:cs="Times New Roman"/>
          <w:sz w:val="26"/>
          <w:szCs w:val="26"/>
        </w:rPr>
        <w:t xml:space="preserve">, 985 F.3d 1284, 1288 (11th Cir. 2021) (quoting 31 U.S.C. § 3730(h)). The Eleventh Circuit has “declined . . . to address the precise impact of the ‘other efforts’ clause on retaliation claims” because the claims failed even under other courts’ interpretations of the amended statute, </w:t>
      </w:r>
      <w:r w:rsidRPr="00C21F1D">
        <w:rPr>
          <w:rFonts w:ascii="Times New Roman" w:hAnsi="Times New Roman" w:cs="Times New Roman"/>
          <w:i/>
          <w:iCs/>
          <w:sz w:val="26"/>
          <w:szCs w:val="26"/>
        </w:rPr>
        <w:t>Lord v. Univ. of Mia.</w:t>
      </w:r>
      <w:r w:rsidRPr="00C21F1D">
        <w:rPr>
          <w:rFonts w:ascii="Times New Roman" w:hAnsi="Times New Roman" w:cs="Times New Roman"/>
          <w:sz w:val="26"/>
          <w:szCs w:val="26"/>
        </w:rPr>
        <w:t xml:space="preserve">, No. 13-22500-Civ, 2022 WL 4767772, at *14 (S.D. Fla. Aug. 8, 2022), but has recognized “the amendments expanded retaliation coverage to at least some set of people who make ‘efforts to stop’ False Claims Act violations — even if those efforts do not lead to a lawsuit or to the ‘distinct possibility’ of a lawsuit,” </w:t>
      </w:r>
      <w:r w:rsidRPr="00C21F1D">
        <w:rPr>
          <w:rFonts w:ascii="Times New Roman" w:hAnsi="Times New Roman" w:cs="Times New Roman"/>
          <w:i/>
          <w:iCs/>
          <w:sz w:val="26"/>
          <w:szCs w:val="26"/>
        </w:rPr>
        <w:t>Hickman</w:t>
      </w:r>
      <w:r w:rsidRPr="00C21F1D">
        <w:rPr>
          <w:rFonts w:ascii="Times New Roman" w:hAnsi="Times New Roman" w:cs="Times New Roman"/>
          <w:sz w:val="26"/>
          <w:szCs w:val="26"/>
        </w:rPr>
        <w:t xml:space="preserve">, 985 F.3d at 1288 (quoting </w:t>
      </w:r>
      <w:r w:rsidRPr="00C21F1D">
        <w:rPr>
          <w:rFonts w:ascii="Times New Roman" w:hAnsi="Times New Roman" w:cs="Times New Roman"/>
          <w:i/>
          <w:iCs/>
          <w:sz w:val="26"/>
          <w:szCs w:val="26"/>
        </w:rPr>
        <w:t>United States ex rel. Chorches v. Am. Med. Response, Inc.</w:t>
      </w:r>
      <w:r w:rsidRPr="00C21F1D">
        <w:rPr>
          <w:rFonts w:ascii="Times New Roman" w:hAnsi="Times New Roman" w:cs="Times New Roman"/>
          <w:sz w:val="26"/>
          <w:szCs w:val="26"/>
        </w:rPr>
        <w:t xml:space="preserve">, 865 F.3d 71, 95–98 (2d Cir. 2017)). In any case, a plaintiff need not show the defendant violated the False Claims Act to be protected by the anti-retaliation provision. </w:t>
      </w:r>
      <w:r w:rsidRPr="00C21F1D">
        <w:rPr>
          <w:rFonts w:ascii="Times New Roman" w:hAnsi="Times New Roman" w:cs="Times New Roman"/>
          <w:i/>
          <w:iCs/>
          <w:sz w:val="26"/>
          <w:szCs w:val="26"/>
        </w:rPr>
        <w:t>See Graham Cnty. Soil &amp; Water Conservation Dist. v. United States ex rel. Wilson</w:t>
      </w:r>
      <w:r w:rsidRPr="00C21F1D">
        <w:rPr>
          <w:rFonts w:ascii="Times New Roman" w:hAnsi="Times New Roman" w:cs="Times New Roman"/>
          <w:sz w:val="26"/>
          <w:szCs w:val="26"/>
        </w:rPr>
        <w:t xml:space="preserve">, 545 U.S. 409, 416 (2005). Other circuits interpreting the amendment have determined a </w:t>
      </w:r>
      <w:r w:rsidRPr="00C21F1D">
        <w:rPr>
          <w:rFonts w:ascii="Times New Roman" w:hAnsi="Times New Roman" w:cs="Times New Roman"/>
          <w:sz w:val="26"/>
          <w:szCs w:val="26"/>
        </w:rPr>
        <w:lastRenderedPageBreak/>
        <w:t xml:space="preserve">plaintiff is only required to show she had an objective, good-faith, and reasonable belief that fraud was being committed against the Government. </w:t>
      </w:r>
      <w:r w:rsidRPr="00C21F1D">
        <w:rPr>
          <w:rFonts w:ascii="Times New Roman" w:hAnsi="Times New Roman" w:cs="Times New Roman"/>
          <w:i/>
          <w:iCs/>
          <w:sz w:val="26"/>
          <w:szCs w:val="26"/>
        </w:rPr>
        <w:t>See Hickman</w:t>
      </w:r>
      <w:r w:rsidRPr="00C21F1D">
        <w:rPr>
          <w:rFonts w:ascii="Times New Roman" w:hAnsi="Times New Roman" w:cs="Times New Roman"/>
          <w:sz w:val="26"/>
          <w:szCs w:val="26"/>
        </w:rPr>
        <w:t xml:space="preserve">, 985 F.3d at 1288 (explaining how other circuits interpret the amendment’s new language, but ultimately avoiding stating the standard for the Eleventh Circuit because the plaintiffs failed to meet the most lenient standard); </w:t>
      </w:r>
      <w:r w:rsidRPr="00C21F1D">
        <w:rPr>
          <w:rFonts w:ascii="Times New Roman" w:hAnsi="Times New Roman" w:cs="Times New Roman"/>
          <w:i/>
          <w:iCs/>
          <w:sz w:val="26"/>
          <w:szCs w:val="26"/>
        </w:rPr>
        <w:t>Briggs ex rel. United States v. QuantiTech Inc.</w:t>
      </w:r>
      <w:r w:rsidRPr="00C21F1D">
        <w:rPr>
          <w:rFonts w:ascii="Times New Roman" w:hAnsi="Times New Roman" w:cs="Times New Roman"/>
          <w:sz w:val="26"/>
          <w:szCs w:val="26"/>
        </w:rPr>
        <w:t xml:space="preserve">, No. 21-11448, 2022 WL 1308494, at *2–3 (11th Cir. May 2, 2022) (declining to adopt a standard because the plaintiff’s claim failed under the lesser standard that an employee only needs to have an objectively reasonable belief of an FCA violation); </w:t>
      </w:r>
      <w:r w:rsidRPr="00C21F1D">
        <w:rPr>
          <w:rFonts w:ascii="Times New Roman" w:hAnsi="Times New Roman" w:cs="Times New Roman"/>
          <w:i/>
          <w:iCs/>
          <w:sz w:val="26"/>
          <w:szCs w:val="26"/>
        </w:rPr>
        <w:t>Fanslow v. Chi. Mfg. Ctr., Inc.</w:t>
      </w:r>
      <w:r w:rsidRPr="00C21F1D">
        <w:rPr>
          <w:rFonts w:ascii="Times New Roman" w:hAnsi="Times New Roman" w:cs="Times New Roman"/>
          <w:sz w:val="26"/>
          <w:szCs w:val="26"/>
        </w:rPr>
        <w:t xml:space="preserve">, 384 F.3d 469, 480 (7th Cir. 2004); </w:t>
      </w:r>
      <w:r w:rsidRPr="00C21F1D">
        <w:rPr>
          <w:rFonts w:ascii="Times New Roman" w:hAnsi="Times New Roman" w:cs="Times New Roman"/>
          <w:i/>
          <w:iCs/>
          <w:sz w:val="26"/>
          <w:szCs w:val="26"/>
        </w:rPr>
        <w:t>Wilkins v. St. Louis Hous. Auth.</w:t>
      </w:r>
      <w:r w:rsidRPr="00C21F1D">
        <w:rPr>
          <w:rFonts w:ascii="Times New Roman" w:hAnsi="Times New Roman" w:cs="Times New Roman"/>
          <w:sz w:val="26"/>
          <w:szCs w:val="26"/>
        </w:rPr>
        <w:t xml:space="preserve">, 314 F.3d 927, 933 (8th Cir. 2002); </w:t>
      </w:r>
      <w:r w:rsidRPr="00C21F1D">
        <w:rPr>
          <w:rFonts w:ascii="Times New Roman" w:hAnsi="Times New Roman" w:cs="Times New Roman"/>
          <w:i/>
          <w:iCs/>
          <w:sz w:val="26"/>
          <w:szCs w:val="26"/>
        </w:rPr>
        <w:t>Moore v. Cal. Inst. of Tech. Jet Propulsion Lab’y</w:t>
      </w:r>
      <w:r w:rsidRPr="00C21F1D">
        <w:rPr>
          <w:rFonts w:ascii="Times New Roman" w:hAnsi="Times New Roman" w:cs="Times New Roman"/>
          <w:sz w:val="26"/>
          <w:szCs w:val="26"/>
        </w:rPr>
        <w:t xml:space="preserve">, 275 F.3d 838, 845 (9th Cir. 2002) (citing </w:t>
      </w:r>
      <w:r w:rsidRPr="00C21F1D">
        <w:rPr>
          <w:rFonts w:ascii="Times New Roman" w:hAnsi="Times New Roman" w:cs="Times New Roman"/>
          <w:i/>
          <w:iCs/>
          <w:sz w:val="26"/>
          <w:szCs w:val="26"/>
        </w:rPr>
        <w:t>United States ex rel. Hopper v. Anton</w:t>
      </w:r>
      <w:r w:rsidRPr="00C21F1D">
        <w:rPr>
          <w:rFonts w:ascii="Times New Roman" w:hAnsi="Times New Roman" w:cs="Times New Roman"/>
          <w:sz w:val="26"/>
          <w:szCs w:val="26"/>
        </w:rPr>
        <w:t>, 91 F.3d 1261, 1269 (9th Cir. 1996)).</w:t>
      </w:r>
    </w:p>
    <w:p w14:paraId="319EBDFC" w14:textId="77777777" w:rsidR="00352274" w:rsidRPr="00C21F1D" w:rsidRDefault="00352274" w:rsidP="00C21F1D">
      <w:pPr>
        <w:pStyle w:val="ListParagraph"/>
        <w:spacing w:after="200" w:line="240" w:lineRule="auto"/>
        <w:rPr>
          <w:rFonts w:ascii="Times New Roman" w:hAnsi="Times New Roman" w:cs="Times New Roman"/>
          <w:sz w:val="26"/>
          <w:szCs w:val="26"/>
        </w:rPr>
      </w:pPr>
    </w:p>
    <w:p w14:paraId="31EB46B0" w14:textId="77777777" w:rsidR="00352274" w:rsidRPr="00C21F1D" w:rsidRDefault="00352274" w:rsidP="00C21F1D">
      <w:pPr>
        <w:pStyle w:val="ListParagraph"/>
        <w:numPr>
          <w:ilvl w:val="0"/>
          <w:numId w:val="1"/>
        </w:numPr>
        <w:spacing w:after="200" w:line="240" w:lineRule="auto"/>
        <w:jc w:val="both"/>
        <w:rPr>
          <w:rFonts w:ascii="Times New Roman" w:hAnsi="Times New Roman" w:cs="Times New Roman"/>
          <w:sz w:val="26"/>
          <w:szCs w:val="26"/>
        </w:rPr>
      </w:pPr>
      <w:r w:rsidRPr="00C21F1D">
        <w:rPr>
          <w:rFonts w:ascii="Times New Roman" w:hAnsi="Times New Roman" w:cs="Times New Roman"/>
          <w:sz w:val="26"/>
          <w:szCs w:val="26"/>
        </w:rPr>
        <w:t xml:space="preserve">In the Fraud Enforcement and Recovery Act of 2009 (“FERA”), Congress clarified the retaliation provision, 31 U.S.C. section 3730, “[t]o address the concern about indirect retaliation against colleagues and family members of the person who acts to stop the violations of the False Claims Act,” 155 Cong. Rec. E1295, E1300 (daily ed. June 3, 2009) (statement of Rep. Howard Berman) (alteration added). The FERA added language expressly protecting individuals from employment retaliation where a plaintiff </w:t>
      </w:r>
      <w:r w:rsidRPr="00C21F1D">
        <w:rPr>
          <w:rFonts w:ascii="Times New Roman" w:hAnsi="Times New Roman" w:cs="Times New Roman"/>
          <w:b/>
          <w:bCs/>
          <w:sz w:val="26"/>
          <w:szCs w:val="26"/>
        </w:rPr>
        <w:t>or</w:t>
      </w:r>
      <w:r w:rsidRPr="00C21F1D">
        <w:rPr>
          <w:rFonts w:ascii="Times New Roman" w:hAnsi="Times New Roman" w:cs="Times New Roman"/>
          <w:sz w:val="26"/>
          <w:szCs w:val="26"/>
        </w:rPr>
        <w:t xml:space="preserve"> “associated others” made efforts to stop FCA violations. </w:t>
      </w:r>
      <w:r w:rsidRPr="00C21F1D">
        <w:rPr>
          <w:rFonts w:ascii="Times New Roman" w:hAnsi="Times New Roman" w:cs="Times New Roman"/>
          <w:i/>
          <w:iCs/>
          <w:sz w:val="26"/>
          <w:szCs w:val="26"/>
        </w:rPr>
        <w:t>See ibid.</w:t>
      </w:r>
      <w:r w:rsidRPr="00C21F1D">
        <w:rPr>
          <w:rFonts w:ascii="Times New Roman" w:hAnsi="Times New Roman" w:cs="Times New Roman"/>
          <w:sz w:val="26"/>
          <w:szCs w:val="26"/>
        </w:rPr>
        <w:t>; 31 U.S.C. § 3730(h)(1). “This language is intended to deter and penalize indirect retaliation by, for example, firing a spouse or child of the person who blew the whistle.” 155 Cong. Rec. at E1300.</w:t>
      </w:r>
    </w:p>
    <w:p w14:paraId="2A03951F" w14:textId="77777777" w:rsidR="00352274" w:rsidRPr="00C21F1D" w:rsidRDefault="00352274" w:rsidP="00C21F1D">
      <w:pPr>
        <w:pStyle w:val="ListParagraph"/>
        <w:spacing w:after="200" w:line="240" w:lineRule="auto"/>
        <w:jc w:val="both"/>
        <w:rPr>
          <w:rFonts w:ascii="Times New Roman" w:hAnsi="Times New Roman" w:cs="Times New Roman"/>
          <w:sz w:val="26"/>
          <w:szCs w:val="26"/>
        </w:rPr>
      </w:pPr>
    </w:p>
    <w:p w14:paraId="667C8F2A" w14:textId="77777777" w:rsidR="00352274" w:rsidRPr="00C21F1D" w:rsidRDefault="00352274" w:rsidP="00C21F1D">
      <w:pPr>
        <w:pStyle w:val="ListParagraph"/>
        <w:spacing w:after="200" w:line="240" w:lineRule="auto"/>
        <w:jc w:val="both"/>
        <w:rPr>
          <w:rFonts w:ascii="Times New Roman" w:hAnsi="Times New Roman" w:cs="Times New Roman"/>
          <w:sz w:val="26"/>
          <w:szCs w:val="26"/>
        </w:rPr>
      </w:pPr>
    </w:p>
    <w:p w14:paraId="6E94523A" w14:textId="77777777" w:rsidR="0011570F" w:rsidRPr="00C21F1D" w:rsidRDefault="0011570F" w:rsidP="00C21F1D">
      <w:pPr>
        <w:spacing w:after="200" w:line="240" w:lineRule="auto"/>
        <w:rPr>
          <w:sz w:val="26"/>
          <w:szCs w:val="26"/>
        </w:rPr>
      </w:pPr>
    </w:p>
    <w:sectPr w:rsidR="0011570F" w:rsidRPr="00C2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1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74"/>
    <w:rsid w:val="00004924"/>
    <w:rsid w:val="00004FE5"/>
    <w:rsid w:val="00031EC7"/>
    <w:rsid w:val="000D3640"/>
    <w:rsid w:val="0011570F"/>
    <w:rsid w:val="00225FA1"/>
    <w:rsid w:val="00352274"/>
    <w:rsid w:val="003D0614"/>
    <w:rsid w:val="00434938"/>
    <w:rsid w:val="005547DD"/>
    <w:rsid w:val="005811D2"/>
    <w:rsid w:val="00716077"/>
    <w:rsid w:val="009A51F4"/>
    <w:rsid w:val="00A4670C"/>
    <w:rsid w:val="00C2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2264"/>
  <w15:chartTrackingRefBased/>
  <w15:docId w15:val="{CA3B7FB9-DE56-465C-87AB-265E3DE8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7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274"/>
    <w:pPr>
      <w:ind w:left="720"/>
      <w:contextualSpacing/>
    </w:pPr>
  </w:style>
  <w:style w:type="paragraph" w:styleId="Revision">
    <w:name w:val="Revision"/>
    <w:hidden/>
    <w:uiPriority w:val="99"/>
    <w:semiHidden/>
    <w:rsid w:val="000D36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606-B942-4854-9467-5634D728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4</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2025-09-02T19:13:00Z</dcterms:created>
  <dcterms:modified xsi:type="dcterms:W3CDTF">2025-09-02T19:13:00Z</dcterms:modified>
</cp:coreProperties>
</file>