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D9" w:rsidRDefault="00FE61D9" w:rsidP="00AD62D1">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FE61D9" w:rsidRPr="00A333DE" w:rsidRDefault="00FE61D9" w:rsidP="00AD62D1">
      <w:pPr>
        <w:spacing w:after="240" w:line="240" w:lineRule="auto"/>
        <w:ind w:firstLine="720"/>
        <w:jc w:val="both"/>
        <w:rPr>
          <w:rFonts w:ascii="Times New Roman" w:eastAsia="Arial" w:hAnsi="Times New Roman" w:cs="Times New Roman"/>
          <w:i/>
          <w:sz w:val="26"/>
          <w:szCs w:val="26"/>
        </w:rPr>
      </w:pPr>
      <w:r>
        <w:rPr>
          <w:rFonts w:ascii="Times New Roman" w:eastAsia="Arial" w:hAnsi="Times New Roman" w:cs="Times New Roman"/>
          <w:sz w:val="26"/>
          <w:szCs w:val="26"/>
        </w:rPr>
        <w:t>The instruction is drafted for general application to all cases under Rule 10b-5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which broadly prohibits the use of “any device, scheme, or artifice to defraud… in connection with the purchase or sale of </w:t>
      </w:r>
      <w:r>
        <w:rPr>
          <w:rFonts w:ascii="Times New Roman" w:eastAsia="Arial" w:hAnsi="Times New Roman" w:cs="Times New Roman"/>
          <w:sz w:val="26"/>
          <w:szCs w:val="26"/>
          <w:u w:val="single"/>
        </w:rPr>
        <w:t>any</w:t>
      </w:r>
      <w:r>
        <w:rPr>
          <w:rFonts w:ascii="Times New Roman" w:eastAsia="Arial" w:hAnsi="Times New Roman" w:cs="Times New Roman"/>
          <w:sz w:val="26"/>
          <w:szCs w:val="26"/>
        </w:rPr>
        <w:t xml:space="preserve"> security.”</w:t>
      </w:r>
    </w:p>
    <w:p w:rsidR="00FE61D9" w:rsidRPr="00F46052" w:rsidRDefault="00FE61D9" w:rsidP="00AD62D1">
      <w:pPr>
        <w:spacing w:after="240" w:line="240" w:lineRule="auto"/>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F46052">
        <w:rPr>
          <w:rFonts w:ascii="Times New Roman" w:eastAsia="Arial" w:hAnsi="Times New Roman" w:cs="Times New Roman"/>
          <w:sz w:val="26"/>
          <w:szCs w:val="26"/>
        </w:rPr>
        <w:t xml:space="preserve"> of the Securities Exchange Act of 1934 [15 USC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78j</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F46052">
        <w:rPr>
          <w:rFonts w:ascii="Times New Roman" w:eastAsia="Arial" w:hAnsi="Times New Roman" w:cs="Times New Roman"/>
          <w:sz w:val="26"/>
          <w:szCs w:val="26"/>
        </w:rPr>
        <w:t>] provides that:</w:t>
      </w:r>
    </w:p>
    <w:p w:rsidR="00FE61D9" w:rsidRPr="00F46052" w:rsidRDefault="00FE61D9" w:rsidP="00AD62D1">
      <w:pPr>
        <w:spacing w:after="240" w:line="240" w:lineRule="auto"/>
        <w:ind w:left="720" w:right="720"/>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It shall be unlawful for any person, directly or indirectly, by the use of any means or instrumentality of interstate commerce or of the mails, or of any facility of any national securities exchange</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[to] use or employ, in connection with the purchase or sale of any security registered on a national securities exchange or any security not so registered, or any securities-based swap agreement</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any manipulative or deceptive device or contrivance in contravention of such rules and regulations as the Commission may prescribe as necessary or appropriate in the public interest or for the protection of investors.</w:t>
      </w:r>
    </w:p>
    <w:p w:rsidR="00FE61D9" w:rsidRPr="00F46052" w:rsidRDefault="00FE61D9" w:rsidP="00AD62D1">
      <w:pPr>
        <w:spacing w:after="240" w:line="240" w:lineRule="auto"/>
        <w:ind w:firstLine="720"/>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w:t>
      </w:r>
      <w:r w:rsidRPr="0040011B">
        <w:rPr>
          <w:rFonts w:ascii="Times New Roman" w:eastAsia="Arial" w:hAnsi="Times New Roman" w:cs="Times New Roman"/>
          <w:i/>
          <w:sz w:val="26"/>
          <w:szCs w:val="26"/>
        </w:rPr>
        <w:t>see SEC v. Edwards</w:t>
      </w:r>
      <w:r w:rsidRPr="00F46052">
        <w:rPr>
          <w:rFonts w:ascii="Times New Roman" w:eastAsia="Arial" w:hAnsi="Times New Roman" w:cs="Times New Roman"/>
          <w:sz w:val="26"/>
          <w:szCs w:val="26"/>
        </w:rPr>
        <w:t>, 540 U.S. 389, 124 S. Ct. 892, 157 L.</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2d 813 (2004) and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F46052">
        <w:rPr>
          <w:rFonts w:ascii="Times New Roman" w:eastAsia="Arial" w:hAnsi="Times New Roman" w:cs="Times New Roman"/>
          <w:sz w:val="26"/>
          <w:szCs w:val="26"/>
        </w:rPr>
        <w:t xml:space="preserve">, 15 U.S.C. </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F46052">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is frequently a question of law for the court. </w:t>
      </w:r>
      <w:r w:rsidRPr="0040011B">
        <w:rPr>
          <w:rFonts w:ascii="Times New Roman" w:eastAsia="Arial" w:hAnsi="Times New Roman" w:cs="Times New Roman"/>
          <w:i/>
          <w:sz w:val="26"/>
          <w:szCs w:val="26"/>
        </w:rPr>
        <w:t>Robinson v. Glynn</w:t>
      </w:r>
      <w:r w:rsidRPr="00F46052">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40011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 xml:space="preserve">Cir. 2003); </w:t>
      </w:r>
      <w:r w:rsidRPr="0040011B">
        <w:rPr>
          <w:rFonts w:ascii="Times New Roman" w:eastAsia="Arial" w:hAnsi="Times New Roman" w:cs="Times New Roman"/>
          <w:i/>
          <w:sz w:val="26"/>
          <w:szCs w:val="26"/>
        </w:rPr>
        <w:t>Ahrens v. American-Canadian Beaver Co.</w:t>
      </w:r>
      <w:r w:rsidRPr="00F46052">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40011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Cir. 1970). In those cases where the court determines that the investment at issue is a security, it should so instruct the jury.</w:t>
      </w:r>
    </w:p>
    <w:p w:rsidR="00FE61D9" w:rsidRPr="00F46052" w:rsidRDefault="00FE61D9" w:rsidP="00AD62D1">
      <w:pPr>
        <w:spacing w:after="240" w:line="240" w:lineRule="auto"/>
        <w:ind w:firstLine="720"/>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 xml:space="preserve">In </w:t>
      </w:r>
      <w:r w:rsidRPr="0040011B">
        <w:rPr>
          <w:rFonts w:ascii="Times New Roman" w:eastAsia="Arial" w:hAnsi="Times New Roman" w:cs="Times New Roman"/>
          <w:i/>
          <w:sz w:val="26"/>
          <w:szCs w:val="26"/>
        </w:rPr>
        <w:t>Gower v. Cohn</w:t>
      </w:r>
      <w:r w:rsidRPr="00F46052">
        <w:rPr>
          <w:rFonts w:ascii="Times New Roman" w:eastAsia="Arial" w:hAnsi="Times New Roman" w:cs="Times New Roman"/>
          <w:sz w:val="26"/>
          <w:szCs w:val="26"/>
        </w:rPr>
        <w:t>, 643 F.2d 1146, 1151 (</w:t>
      </w:r>
      <w:r>
        <w:rPr>
          <w:rFonts w:ascii="Times New Roman" w:eastAsia="Arial" w:hAnsi="Times New Roman" w:cs="Times New Roman"/>
          <w:sz w:val="26"/>
          <w:szCs w:val="26"/>
        </w:rPr>
        <w:t>5</w:t>
      </w:r>
      <w:r w:rsidRPr="0040011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Cir. Unit B, May 1981), the former Fifth Circuit held that a single interstate telephone call satisfied the jurisdictional requirement of use of any means or instrumentality of interstate commerce as long as the telephone call was made in connection with the fraudulent scheme and was an important step in the scheme.</w:t>
      </w:r>
    </w:p>
    <w:p w:rsidR="00FE61D9" w:rsidRPr="00F46052" w:rsidRDefault="00FE61D9" w:rsidP="00AD62D1">
      <w:pPr>
        <w:spacing w:after="240" w:line="240" w:lineRule="auto"/>
        <w:ind w:firstLine="720"/>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 xml:space="preserve">SEC Manipulative and Deceptive Devices and Contrivances Rule, 17 C.F.R.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240.10b-5 (2004):</w:t>
      </w:r>
    </w:p>
    <w:p w:rsidR="00FE61D9" w:rsidRPr="00F46052" w:rsidRDefault="00FE61D9" w:rsidP="00AD62D1">
      <w:pPr>
        <w:spacing w:after="240" w:line="240" w:lineRule="auto"/>
        <w:ind w:left="720" w:right="720"/>
        <w:jc w:val="both"/>
        <w:rPr>
          <w:rFonts w:ascii="Times New Roman" w:eastAsia="Arial" w:hAnsi="Times New Roman" w:cs="Times New Roman"/>
          <w:sz w:val="26"/>
          <w:szCs w:val="26"/>
        </w:rPr>
      </w:pPr>
      <w:r w:rsidRPr="00F46052">
        <w:rPr>
          <w:rFonts w:ascii="Times New Roman" w:eastAsia="Arial" w:hAnsi="Times New Roman" w:cs="Times New Roman"/>
          <w:sz w:val="26"/>
          <w:szCs w:val="26"/>
        </w:rPr>
        <w:t xml:space="preserve">It shall be unlawful for any person, directly or indirectly, by the use of any means or instrumentality of interstate commerce, or of the mails or of any facility of any national securities exchange, </w:t>
      </w:r>
    </w:p>
    <w:p w:rsidR="00FE61D9" w:rsidRPr="00AD62D1" w:rsidRDefault="00AD62D1" w:rsidP="00AD62D1">
      <w:pPr>
        <w:spacing w:after="240" w:line="240" w:lineRule="auto"/>
        <w:ind w:left="1224" w:right="720" w:hanging="144"/>
        <w:jc w:val="both"/>
        <w:rPr>
          <w:rFonts w:ascii="Times New Roman" w:eastAsia="Arial" w:hAnsi="Times New Roman" w:cs="Times New Roman"/>
          <w:sz w:val="26"/>
          <w:szCs w:val="26"/>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FE61D9" w:rsidRPr="00AD62D1">
        <w:rPr>
          <w:rFonts w:ascii="Times New Roman" w:eastAsia="Arial" w:hAnsi="Times New Roman" w:cs="Times New Roman"/>
          <w:sz w:val="26"/>
          <w:szCs w:val="26"/>
        </w:rPr>
        <w:t>To employ any device, scheme, or artifice to defraud,</w:t>
      </w:r>
    </w:p>
    <w:p w:rsidR="00FE61D9" w:rsidRPr="00AD62D1" w:rsidRDefault="00AD62D1" w:rsidP="00AD62D1">
      <w:pPr>
        <w:spacing w:after="240" w:line="240" w:lineRule="auto"/>
        <w:ind w:left="1224" w:right="720" w:hanging="144"/>
        <w:jc w:val="both"/>
        <w:rPr>
          <w:rFonts w:ascii="Times New Roman" w:eastAsia="Arial" w:hAnsi="Times New Roman" w:cs="Times New Roman"/>
          <w:sz w:val="26"/>
          <w:szCs w:val="26"/>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FE61D9" w:rsidRPr="00AD62D1">
        <w:rPr>
          <w:rFonts w:ascii="Times New Roman" w:eastAsia="Arial" w:hAnsi="Times New Roman" w:cs="Times New Roman"/>
          <w:sz w:val="26"/>
          <w:szCs w:val="26"/>
        </w:rPr>
        <w:t>To make any untrue statement of a material fact or to omit to state a material fact necessary in order to make the statements made, in the light of the circumstances under which they were made, not misleading, or</w:t>
      </w:r>
    </w:p>
    <w:p w:rsidR="00FE61D9" w:rsidRPr="00AD62D1" w:rsidRDefault="00AD62D1" w:rsidP="00AD62D1">
      <w:pPr>
        <w:spacing w:after="240" w:line="240" w:lineRule="auto"/>
        <w:ind w:left="1224" w:right="720" w:hanging="144"/>
        <w:jc w:val="both"/>
        <w:rPr>
          <w:rFonts w:ascii="Times New Roman" w:eastAsia="Arial" w:hAnsi="Times New Roman" w:cs="Times New Roman"/>
          <w:sz w:val="26"/>
          <w:szCs w:val="26"/>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FE61D9" w:rsidRPr="00AD62D1">
        <w:rPr>
          <w:rFonts w:ascii="Times New Roman" w:eastAsia="Arial" w:hAnsi="Times New Roman" w:cs="Times New Roman"/>
          <w:sz w:val="26"/>
          <w:szCs w:val="26"/>
        </w:rPr>
        <w:t xml:space="preserve">To engage in any act, practice, or course of business </w:t>
      </w:r>
      <w:proofErr w:type="gramStart"/>
      <w:r w:rsidR="00FE61D9" w:rsidRPr="00AD62D1">
        <w:rPr>
          <w:rFonts w:ascii="Times New Roman" w:eastAsia="Arial" w:hAnsi="Times New Roman" w:cs="Times New Roman"/>
          <w:sz w:val="26"/>
          <w:szCs w:val="26"/>
        </w:rPr>
        <w:t xml:space="preserve">which operates or </w:t>
      </w:r>
      <w:r w:rsidR="00FE61D9" w:rsidRPr="00AD62D1">
        <w:rPr>
          <w:rFonts w:ascii="Times New Roman" w:eastAsia="Arial" w:hAnsi="Times New Roman" w:cs="Times New Roman"/>
          <w:sz w:val="26"/>
          <w:szCs w:val="26"/>
        </w:rPr>
        <w:lastRenderedPageBreak/>
        <w:t xml:space="preserve">would operate as a fraud or deceit upon any person, in connection with the purchase or sale </w:t>
      </w:r>
      <w:bookmarkStart w:id="0" w:name="_GoBack"/>
      <w:bookmarkEnd w:id="0"/>
      <w:r w:rsidR="00FE61D9" w:rsidRPr="00AD62D1">
        <w:rPr>
          <w:rFonts w:ascii="Times New Roman" w:eastAsia="Arial" w:hAnsi="Times New Roman" w:cs="Times New Roman"/>
          <w:sz w:val="26"/>
          <w:szCs w:val="26"/>
        </w:rPr>
        <w:t>of any security.</w:t>
      </w:r>
      <w:proofErr w:type="gramEnd"/>
    </w:p>
    <w:p w:rsidR="00725167" w:rsidRPr="00FE61D9" w:rsidRDefault="00FE61D9" w:rsidP="00AD62D1">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Although Rule 10b-5 could be read broadly to require disclosure of any nonpublic information about a security that is the subject of a transaction, the Supreme Court has held that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a duty to disclose under </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F46052">
        <w:rPr>
          <w:rFonts w:ascii="Times New Roman" w:eastAsia="Arial" w:hAnsi="Times New Roman" w:cs="Times New Roman"/>
          <w:sz w:val="26"/>
          <w:szCs w:val="26"/>
        </w:rPr>
        <w:t xml:space="preserve"> does not arise from the mere possession of nonpublic market information.</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w:t>
      </w:r>
      <w:r w:rsidRPr="0040011B">
        <w:rPr>
          <w:rFonts w:ascii="Times New Roman" w:eastAsia="Arial" w:hAnsi="Times New Roman" w:cs="Times New Roman"/>
          <w:i/>
          <w:sz w:val="26"/>
          <w:szCs w:val="26"/>
        </w:rPr>
        <w:t>Badger v. Farm Bureau Life</w:t>
      </w:r>
      <w:r w:rsidRPr="00F46052">
        <w:rPr>
          <w:rFonts w:ascii="Times New Roman" w:eastAsia="Arial" w:hAnsi="Times New Roman" w:cs="Times New Roman"/>
          <w:sz w:val="26"/>
          <w:szCs w:val="26"/>
        </w:rPr>
        <w:t>, 612 F.3d 1334, 1340 (</w:t>
      </w:r>
      <w:r>
        <w:rPr>
          <w:rFonts w:ascii="Times New Roman" w:eastAsia="Arial" w:hAnsi="Times New Roman" w:cs="Times New Roman"/>
          <w:sz w:val="26"/>
          <w:szCs w:val="26"/>
        </w:rPr>
        <w:t>11</w:t>
      </w:r>
      <w:r w:rsidRPr="0040011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F46052">
        <w:rPr>
          <w:rFonts w:ascii="Times New Roman" w:eastAsia="Arial" w:hAnsi="Times New Roman" w:cs="Times New Roman"/>
          <w:sz w:val="26"/>
          <w:szCs w:val="26"/>
        </w:rPr>
        <w:t>Cir. 2010) (</w:t>
      </w:r>
      <w:r w:rsidRPr="00A07B17">
        <w:rPr>
          <w:rFonts w:ascii="Times New Roman" w:eastAsia="Arial" w:hAnsi="Times New Roman" w:cs="Times New Roman"/>
          <w:i/>
          <w:sz w:val="26"/>
          <w:szCs w:val="26"/>
        </w:rPr>
        <w:t xml:space="preserve">quoting </w:t>
      </w:r>
      <w:r w:rsidRPr="0040011B">
        <w:rPr>
          <w:rFonts w:ascii="Times New Roman" w:eastAsia="Arial" w:hAnsi="Times New Roman" w:cs="Times New Roman"/>
          <w:i/>
          <w:sz w:val="26"/>
          <w:szCs w:val="26"/>
        </w:rPr>
        <w:t>Chiarella v. United States</w:t>
      </w:r>
      <w:r w:rsidRPr="00F46052">
        <w:rPr>
          <w:rFonts w:ascii="Times New Roman" w:eastAsia="Arial" w:hAnsi="Times New Roman" w:cs="Times New Roman"/>
          <w:sz w:val="26"/>
          <w:szCs w:val="26"/>
        </w:rPr>
        <w:t xml:space="preserve">, 445 U.S. 222, 235, 100 S. Ct. 1108, 63 L. Ed. 2d 348 (1980)). Rather, </w:t>
      </w:r>
      <w:r>
        <w:rPr>
          <w:rFonts w:ascii="Times New Roman" w:eastAsia="Arial" w:hAnsi="Times New Roman" w:cs="Times New Roman"/>
          <w:sz w:val="26"/>
          <w:szCs w:val="26"/>
        </w:rPr>
        <w:t>“</w:t>
      </w:r>
      <w:r w:rsidRPr="00F46052">
        <w:rPr>
          <w:rFonts w:ascii="Times New Roman" w:eastAsia="Arial" w:hAnsi="Times New Roman" w:cs="Times New Roman"/>
          <w:sz w:val="26"/>
          <w:szCs w:val="26"/>
        </w:rPr>
        <w:t>in order to be liable under [Rule 10b-5] for failing to disclose a material fact, an entity must have a prior duty to disclose that fact.</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w:t>
      </w:r>
      <w:r w:rsidRPr="0040011B">
        <w:rPr>
          <w:rFonts w:ascii="Times New Roman" w:eastAsia="Arial" w:hAnsi="Times New Roman" w:cs="Times New Roman"/>
          <w:i/>
          <w:sz w:val="26"/>
          <w:szCs w:val="26"/>
        </w:rPr>
        <w:t>Id</w:t>
      </w:r>
      <w:r w:rsidRPr="00F46052">
        <w:rPr>
          <w:rFonts w:ascii="Times New Roman" w:eastAsia="Arial" w:hAnsi="Times New Roman" w:cs="Times New Roman"/>
          <w:sz w:val="26"/>
          <w:szCs w:val="26"/>
        </w:rPr>
        <w:t xml:space="preserve">. Applying this standard, the Eleventh Circuit further noted in </w:t>
      </w:r>
      <w:r w:rsidRPr="00A07B17">
        <w:rPr>
          <w:rFonts w:ascii="Times New Roman" w:eastAsia="Arial" w:hAnsi="Times New Roman" w:cs="Times New Roman"/>
          <w:i/>
          <w:sz w:val="26"/>
          <w:szCs w:val="26"/>
        </w:rPr>
        <w:t>Badger</w:t>
      </w:r>
      <w:r w:rsidRPr="00F46052">
        <w:rPr>
          <w:rFonts w:ascii="Times New Roman" w:eastAsia="Arial" w:hAnsi="Times New Roman" w:cs="Times New Roman"/>
          <w:sz w:val="26"/>
          <w:szCs w:val="26"/>
        </w:rPr>
        <w:t xml:space="preserve"> that </w:t>
      </w:r>
      <w:r w:rsidRPr="00F46052">
        <w:rPr>
          <w:rFonts w:ascii="Times New Roman" w:eastAsia="Arial" w:hAnsi="Times New Roman" w:cs="Times New Roman"/>
          <w:sz w:val="26"/>
          <w:szCs w:val="26"/>
        </w:rPr>
        <w:sym w:font="WP TypographicSymbols" w:char="0041"/>
      </w:r>
      <w:r w:rsidRPr="00F46052">
        <w:rPr>
          <w:rFonts w:ascii="Times New Roman" w:eastAsia="Arial" w:hAnsi="Times New Roman" w:cs="Times New Roman"/>
          <w:sz w:val="26"/>
          <w:szCs w:val="26"/>
        </w:rPr>
        <w:t>courts have uniformly declined to find a duty to disclose running from one party in an arm</w:t>
      </w:r>
      <w:r>
        <w:rPr>
          <w:rFonts w:ascii="Times New Roman" w:eastAsia="Arial" w:hAnsi="Times New Roman" w:cs="Times New Roman"/>
          <w:sz w:val="26"/>
          <w:szCs w:val="26"/>
        </w:rPr>
        <w:t>’</w:t>
      </w:r>
      <w:r w:rsidRPr="00F46052">
        <w:rPr>
          <w:rFonts w:ascii="Times New Roman" w:eastAsia="Arial" w:hAnsi="Times New Roman" w:cs="Times New Roman"/>
          <w:sz w:val="26"/>
          <w:szCs w:val="26"/>
        </w:rPr>
        <w:t>s-length securities transaction to the shareholders of the counterparty to the transaction, absent some fiduciary or other special relationship between them.</w:t>
      </w:r>
      <w:r>
        <w:rPr>
          <w:rFonts w:ascii="Times New Roman" w:eastAsia="Arial" w:hAnsi="Times New Roman" w:cs="Times New Roman"/>
          <w:sz w:val="26"/>
          <w:szCs w:val="26"/>
        </w:rPr>
        <w:t>”</w:t>
      </w:r>
      <w:r w:rsidRPr="00F46052">
        <w:rPr>
          <w:rFonts w:ascii="Times New Roman" w:eastAsia="Arial" w:hAnsi="Times New Roman" w:cs="Times New Roman"/>
          <w:sz w:val="26"/>
          <w:szCs w:val="26"/>
        </w:rPr>
        <w:t xml:space="preserve"> </w:t>
      </w:r>
      <w:r w:rsidRPr="0040011B">
        <w:rPr>
          <w:rFonts w:ascii="Times New Roman" w:eastAsia="Arial" w:hAnsi="Times New Roman" w:cs="Times New Roman"/>
          <w:i/>
          <w:sz w:val="26"/>
          <w:szCs w:val="26"/>
        </w:rPr>
        <w:t>Id</w:t>
      </w:r>
      <w:r w:rsidRPr="00F46052">
        <w:rPr>
          <w:rFonts w:ascii="Times New Roman" w:eastAsia="Arial" w:hAnsi="Times New Roman" w:cs="Times New Roman"/>
          <w:sz w:val="26"/>
          <w:szCs w:val="26"/>
        </w:rPr>
        <w:t>. at 1343 (collecting multiple cases).</w:t>
      </w:r>
    </w:p>
    <w:sectPr w:rsidR="00725167" w:rsidRPr="00FE61D9" w:rsidSect="00524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46" w:rsidRDefault="00CF7146" w:rsidP="00CF7146">
      <w:pPr>
        <w:spacing w:after="0" w:line="240" w:lineRule="auto"/>
      </w:pPr>
      <w:r>
        <w:separator/>
      </w:r>
    </w:p>
  </w:endnote>
  <w:endnote w:type="continuationSeparator" w:id="0">
    <w:p w:rsidR="00CF7146" w:rsidRDefault="00CF7146" w:rsidP="00CF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46" w:rsidRDefault="00CF7146" w:rsidP="00CF7146">
      <w:pPr>
        <w:spacing w:after="0" w:line="240" w:lineRule="auto"/>
      </w:pPr>
      <w:r>
        <w:separator/>
      </w:r>
    </w:p>
  </w:footnote>
  <w:footnote w:type="continuationSeparator" w:id="0">
    <w:p w:rsidR="00CF7146" w:rsidRDefault="00CF7146" w:rsidP="00CF7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2451E"/>
    <w:rsid w:val="001E02CA"/>
    <w:rsid w:val="001E531F"/>
    <w:rsid w:val="00240B28"/>
    <w:rsid w:val="002B67EE"/>
    <w:rsid w:val="00326F55"/>
    <w:rsid w:val="003C6FF2"/>
    <w:rsid w:val="00427B27"/>
    <w:rsid w:val="00524BDF"/>
    <w:rsid w:val="005819CC"/>
    <w:rsid w:val="00703AA4"/>
    <w:rsid w:val="00725167"/>
    <w:rsid w:val="0076151A"/>
    <w:rsid w:val="007B150F"/>
    <w:rsid w:val="007B74C2"/>
    <w:rsid w:val="007D42A6"/>
    <w:rsid w:val="0081575C"/>
    <w:rsid w:val="0089546D"/>
    <w:rsid w:val="008B5673"/>
    <w:rsid w:val="00927349"/>
    <w:rsid w:val="009A03FE"/>
    <w:rsid w:val="00A45395"/>
    <w:rsid w:val="00AD447F"/>
    <w:rsid w:val="00AD62D1"/>
    <w:rsid w:val="00BA403B"/>
    <w:rsid w:val="00C473BC"/>
    <w:rsid w:val="00CF7146"/>
    <w:rsid w:val="00DC18AE"/>
    <w:rsid w:val="00E33549"/>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CF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46"/>
  </w:style>
  <w:style w:type="paragraph" w:styleId="Footer">
    <w:name w:val="footer"/>
    <w:basedOn w:val="Normal"/>
    <w:link w:val="FooterChar"/>
    <w:uiPriority w:val="99"/>
    <w:unhideWhenUsed/>
    <w:rsid w:val="00CF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CF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46"/>
  </w:style>
  <w:style w:type="paragraph" w:styleId="Footer">
    <w:name w:val="footer"/>
    <w:basedOn w:val="Normal"/>
    <w:link w:val="FooterChar"/>
    <w:uiPriority w:val="99"/>
    <w:unhideWhenUsed/>
    <w:rsid w:val="00CF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2014-06-09T17:30:00Z</dcterms:created>
  <dcterms:modified xsi:type="dcterms:W3CDTF">2014-06-21T00:07:00Z</dcterms:modified>
</cp:coreProperties>
</file>