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8B" w:rsidRDefault="00B4168B" w:rsidP="00B4168B">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6.2 Securities Exchange Act – 15 U.S.C. § 78j</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 Rule 10b-5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w:t>
      </w:r>
    </w:p>
    <w:p w:rsidR="00B4168B" w:rsidRDefault="00B4168B" w:rsidP="00B4168B">
      <w:pPr>
        <w:spacing w:after="0" w:line="240" w:lineRule="auto"/>
        <w:ind w:left="432"/>
        <w:jc w:val="both"/>
        <w:rPr>
          <w:rFonts w:ascii="Times New Roman" w:eastAsia="Arial" w:hAnsi="Times New Roman"/>
          <w:b/>
          <w:sz w:val="28"/>
          <w:szCs w:val="28"/>
        </w:rPr>
      </w:pPr>
      <w:r>
        <w:rPr>
          <w:rFonts w:ascii="Times New Roman" w:eastAsia="Arial" w:hAnsi="Times New Roman"/>
          <w:b/>
          <w:sz w:val="28"/>
          <w:szCs w:val="28"/>
        </w:rPr>
        <w:t>17 C.F.R. § 240.10b-5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 Misrepresentation or</w:t>
      </w:r>
    </w:p>
    <w:p w:rsidR="00B4168B" w:rsidRDefault="00B4168B" w:rsidP="00FC3AE5">
      <w:pPr>
        <w:spacing w:after="0" w:line="480" w:lineRule="auto"/>
        <w:ind w:left="432"/>
        <w:jc w:val="both"/>
        <w:rPr>
          <w:rFonts w:ascii="Times New Roman" w:eastAsia="Arial" w:hAnsi="Times New Roman"/>
          <w:b/>
          <w:sz w:val="28"/>
          <w:szCs w:val="28"/>
        </w:rPr>
      </w:pPr>
      <w:r>
        <w:rPr>
          <w:rFonts w:ascii="Times New Roman" w:eastAsia="Arial" w:hAnsi="Times New Roman"/>
          <w:b/>
          <w:sz w:val="28"/>
          <w:szCs w:val="28"/>
        </w:rPr>
        <w:t>Omission of Material Facts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Securities and Exchange Commission, also known as the SEC,] asserts a claim under the Securities Exchange Act of 1934.</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Exchange Act is a federal statute that allows [the Securities and Exchange Commission, also known as the SEC,/the SEC] to enact rules and regulations prohibiting certain conduct in the purchase or sale of securities.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makes it unlawful for a person to commit a fraud in connection with the purchase or sale of a security.</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“security” is an investment in a commercial, financial, or other business enterprise with the expectation that profits or other gain will be produced by others. Some common types of securities are [stocks,] [bonds,] [debentures,] [warrants,] [and] [investment contracts]. The [</w:t>
      </w:r>
      <w:r w:rsidRPr="00681690">
        <w:rPr>
          <w:rFonts w:ascii="Times New Roman" w:eastAsia="Arial" w:hAnsi="Times New Roman" w:cs="Times New Roman"/>
          <w:sz w:val="28"/>
          <w:szCs w:val="28"/>
          <w:u w:val="single"/>
        </w:rPr>
        <w:t>describe type of security</w:t>
      </w:r>
      <w:r w:rsidRPr="00681690">
        <w:rPr>
          <w:rFonts w:ascii="Times New Roman" w:eastAsia="Arial" w:hAnsi="Times New Roman" w:cs="Times New Roman"/>
          <w:sz w:val="28"/>
          <w:szCs w:val="28"/>
        </w:rPr>
        <w:t>] in this case is a security.]</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who claims that someone violated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may bring a civil action for damages that [he/she/it] suffered as a result of the violation. [The SEC may bring a civil action for the violation of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a claim under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prove each of the following facts by a preponderance of the evidence:</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used an instrumentality of </w:t>
      </w:r>
      <w:r w:rsidRPr="00681690">
        <w:rPr>
          <w:rFonts w:ascii="Times New Roman" w:eastAsia="Arial" w:hAnsi="Times New Roman" w:cs="Times New Roman"/>
          <w:sz w:val="28"/>
          <w:szCs w:val="28"/>
        </w:rPr>
        <w:lastRenderedPageBreak/>
        <w:t>interstate commerce in connection with the purchase or sale of a security.</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made a misrepresentation of a material fact, or omitted a material fact, in connection with the purchase or sale of a security.</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fourth and fifth elements are not required in cases brought by the SEC.]</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[Fourth,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justifiably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fifth, you must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actual damages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wrongful conduct.]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help you as you consider the facts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prove.</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 that an instrumentality of interstate commerce was used in connection with the purchase or sale of a security – you must use these definitions: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“Instrumentality of interstate commerce” means the use of the mails, telephone, Internet, or some other form of electronic communication, [or] an </w:t>
      </w:r>
      <w:r w:rsidRPr="00681690">
        <w:rPr>
          <w:rFonts w:ascii="Times New Roman" w:eastAsia="Arial" w:hAnsi="Times New Roman" w:cs="Times New Roman"/>
          <w:sz w:val="28"/>
          <w:szCs w:val="28"/>
        </w:rPr>
        <w:lastRenderedPageBreak/>
        <w:t>interstate delivery system such as Federal Express or UPS [, or a facility of a national securities exchange such as the New York Stock Exchange or NASDAQ] [, or an inter-dealer electronic-quotation-and-trading system in the over-the-counter securities market]. It’s not necessary that the misrepresentation or omission of material fact was transmitted using an instrumentality of interstate-commerce. It is enough if the interstate-commerce instrumentality was used in some phase of the transaction.</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“facility of a national securities exchange” may include a computer-trading program or an online discount-brokerage service. Again, it’s not necessary that the facility of a national securities exchange was the means by which someone transmitted any misrepresentation or omission. It’s only necessary that the facility was used in some phase of the transaction</w:t>
      </w:r>
      <w:r w:rsidR="00676D3C">
        <w:rPr>
          <w:rFonts w:ascii="Times New Roman" w:eastAsia="Arial" w:hAnsi="Times New Roman" w:cs="Times New Roman"/>
          <w:sz w:val="28"/>
          <w:szCs w:val="28"/>
        </w:rPr>
        <w:t>?</w:t>
      </w:r>
      <w:r w:rsidRPr="00681690">
        <w:rPr>
          <w:rFonts w:ascii="Times New Roman" w:eastAsia="Arial" w:hAnsi="Times New Roman" w:cs="Times New Roman"/>
          <w:sz w:val="28"/>
          <w:szCs w:val="28"/>
        </w:rPr>
        <w: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there is a genuine question whether the case involves a “security,” additional instructions will be needed here.]</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either</w:t>
      </w:r>
      <w:r w:rsidRPr="00681690">
        <w:rPr>
          <w:rFonts w:ascii="Times New Roman" w:eastAsia="Arial" w:hAnsi="Times New Roman" w:cs="Times New Roman"/>
          <w:sz w:val="28"/>
          <w:szCs w:val="28"/>
        </w:rPr>
        <w:t xml:space="preserve"> made an untrue statement of material fact or omitted a material fact, either of which would tend to mislead the prospective buyer or seller of a security.</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“misrepresentation” is a statement that is not true. An “omission” is the failure to state facts that would be necessary to make the statements made by </w:t>
      </w:r>
      <w:r w:rsidRPr="00681690">
        <w:rPr>
          <w:rFonts w:ascii="Times New Roman" w:eastAsia="Arial" w:hAnsi="Times New Roman" w:cs="Times New Roman"/>
          <w:sz w:val="28"/>
          <w:szCs w:val="28"/>
        </w:rPr>
        <w:lastRenderedPageBreak/>
        <w:t>[</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not misleading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misrepresentation or omission of fact is “material” if there is a substantial likelihood that a reasonable investor would attach importance to the misrepresented or omitted fact in determining his course of action. Put another way, there must be a substantial likelihood that a reasonable investor would view the misstated or omitted fact’s disclosure as significantly altering the total mix of available information. A minor or trivial detail is not a “material fact.”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[Predictions, opinions, and other projections (if they aren’t expressed as guarantees) aren’t representations of material facts [, and don’t require revision or amendment] – unless the person or entity communicating them doesn’t believe, or doesn’t have a reasonable basis for believing, they’re true. But if the person or entity making the predictions, opinions, or projections actually believed them at the time or had a reasonable basis for making them, then the statements are not materially misleading statements of fact. The focus is on whether the statements were false or misleading when they were made. Later events proving that the predictions, opinions, or projections were wrong don’t create a violation of Rule 10b-5.]</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 SEC brings the case, add the following: The SEC does not need to identify any particular purchase or sale of securities by a specific person, including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Rather, it’s enough if the SEC proves that the </w:t>
      </w:r>
      <w:r w:rsidRPr="00681690">
        <w:rPr>
          <w:rFonts w:ascii="Times New Roman" w:eastAsia="Arial" w:hAnsi="Times New Roman" w:cs="Times New Roman"/>
          <w:sz w:val="28"/>
          <w:szCs w:val="28"/>
        </w:rPr>
        <w:lastRenderedPageBreak/>
        <w:t>misrepresentation or omission involved or touched any purchase or sale of a security in any way.] The SEC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made the following misrepresentations or omissions: [</w:t>
      </w:r>
      <w:r w:rsidRPr="00681690">
        <w:rPr>
          <w:rFonts w:ascii="Times New Roman" w:eastAsia="Arial" w:hAnsi="Times New Roman" w:cs="Times New Roman"/>
          <w:sz w:val="28"/>
          <w:szCs w:val="28"/>
          <w:u w:val="single"/>
        </w:rPr>
        <w:t>Describe the specific statements or omissions claimed to have been fraudulently made.</w:t>
      </w:r>
      <w:r w:rsidRPr="00681690">
        <w:rPr>
          <w:rFonts w:ascii="Times New Roman" w:eastAsia="Arial" w:hAnsi="Times New Roman" w:cs="Times New Roman"/>
          <w:sz w:val="28"/>
          <w:szCs w:val="28"/>
        </w:rPr>
        <w: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must first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made one or more of the alleged misrepresentations of fact [or omitted facts that would be necessary to prevent other statements made by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from being misleading to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/the SEC]]. And second, that the misrepresentation [or omission] involved “material” facts.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has previously made false or inaccurate statements regarding material facts, such as statements made in reports [he/she/it] filed with the SEC, information [he/she/it] sent to investors, or statement</w:t>
      </w:r>
      <w:r>
        <w:rPr>
          <w:rFonts w:ascii="Times New Roman" w:eastAsia="Arial" w:hAnsi="Times New Roman" w:cs="Times New Roman"/>
          <w:sz w:val="28"/>
          <w:szCs w:val="28"/>
        </w:rPr>
        <w:t>s</w:t>
      </w:r>
      <w:r w:rsidRPr="00681690">
        <w:rPr>
          <w:rFonts w:ascii="Times New Roman" w:eastAsia="Arial" w:hAnsi="Times New Roman" w:cs="Times New Roman"/>
          <w:sz w:val="28"/>
          <w:szCs w:val="28"/>
        </w:rPr>
        <w:t xml:space="preserve"> [he/she/it] made in press releases, [he/she/it] has a duty to correct those statements if it is discovered later that those statements weren’t true when made and they remain material to a shareholder’s investment decision.</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made the alleged misrepresentations or omissions knowingly, or with severe recklessness. The term “knowingly”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an intent to deceive, manipulate, or defraud.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didn’t act knowingly if [he/she/it] acted inadvertently, carelessly, or by mistake.</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To act with “severe recklessness” means to engage in conduct that involves an extreme departure from the standard of ordinary care. A person acts with reckless disregard if it’s obvious that an ordinary person under the circumstances would have realized the danger and taken care to avoid the harm likely to follow.</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As an example, [</w:t>
      </w:r>
      <w:r w:rsidR="008A2AC2">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ame of defendant</w:t>
      </w:r>
      <w:r w:rsidRPr="00681690">
        <w:rPr>
          <w:rFonts w:ascii="Times New Roman" w:eastAsia="Arial" w:hAnsi="Times New Roman" w:cs="Times New Roman"/>
          <w:sz w:val="28"/>
          <w:szCs w:val="28"/>
        </w:rPr>
        <w:t>] acted “knowingly” or with severe recklessness if [he/she/it] stated material facts that [he/she/it] knew were false [or] [stated untrue facts with reckless disregard for their truth or falsity] [or] [didn’t disclose material facts that [he/she/it] knew or was severely reckless in not knowing, and knew or was severely reckless in not knowing that disclosing those facts was necessary to avoid making [his/her/its] other statements misleading.]</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following instructions on the fourth and fifth elements are not required to be given in SEC cases. The instruction in SEC cases concludes with the bracketed instruction that is provided at the end of this instruction.]</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fourth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[he/she/it] “relied” on the alleged misrepresentations [or omissions] and was “justified” in doing so.]</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[Use when fraud-on-the-market theory is not involved: If you find that the misrepresentation [or omission] didn’t affect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investment decision, then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didn’t “rely” on it and can’t recover on the claim. Also,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[his/her/its] reliance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justified. Reliance isn’t “justified” if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intentionally ignored or refused to investigate suspicious circumstances by disregarding a risk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knew about, or was so obvious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should have known about it, and the risk was so great as to make it highly probable that harm would follow.</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decide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justifiably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misrepresentations, you should consider:</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B4168B" w:rsidRPr="00FC3AE5">
        <w:rPr>
          <w:rFonts w:ascii="Times New Roman" w:eastAsia="Arial" w:hAnsi="Times New Roman" w:cs="Times New Roman"/>
          <w:sz w:val="28"/>
          <w:szCs w:val="28"/>
        </w:rPr>
        <w:t>[</w:t>
      </w:r>
      <w:proofErr w:type="gramStart"/>
      <w:r w:rsidR="00B4168B" w:rsidRPr="00FC3AE5">
        <w:rPr>
          <w:rFonts w:ascii="Times New Roman" w:eastAsia="Arial" w:hAnsi="Times New Roman" w:cs="Times New Roman"/>
          <w:sz w:val="28"/>
          <w:szCs w:val="28"/>
          <w:u w:val="single"/>
        </w:rPr>
        <w:t>name</w:t>
      </w:r>
      <w:proofErr w:type="gramEnd"/>
      <w:r w:rsidR="00B4168B" w:rsidRPr="00FC3AE5">
        <w:rPr>
          <w:rFonts w:ascii="Times New Roman" w:eastAsia="Arial" w:hAnsi="Times New Roman" w:cs="Times New Roman"/>
          <w:sz w:val="28"/>
          <w:szCs w:val="28"/>
          <w:u w:val="single"/>
        </w:rPr>
        <w:t xml:space="preserve"> of plaintiff</w:t>
      </w:r>
      <w:r w:rsidR="00B4168B" w:rsidRPr="00FC3AE5">
        <w:rPr>
          <w:rFonts w:ascii="Times New Roman" w:eastAsia="Arial" w:hAnsi="Times New Roman" w:cs="Times New Roman"/>
          <w:sz w:val="28"/>
          <w:szCs w:val="28"/>
        </w:rPr>
        <w:t>]’s sophistication and expertise in matters involving finance and securities;</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B4168B" w:rsidRPr="00FC3AE5">
        <w:rPr>
          <w:rFonts w:ascii="Times New Roman" w:eastAsia="Arial" w:hAnsi="Times New Roman" w:cs="Times New Roman"/>
          <w:sz w:val="28"/>
          <w:szCs w:val="28"/>
        </w:rPr>
        <w:t>the</w:t>
      </w:r>
      <w:proofErr w:type="gramEnd"/>
      <w:r w:rsidR="00B4168B" w:rsidRPr="00FC3AE5">
        <w:rPr>
          <w:rFonts w:ascii="Times New Roman" w:eastAsia="Arial" w:hAnsi="Times New Roman" w:cs="Times New Roman"/>
          <w:sz w:val="28"/>
          <w:szCs w:val="28"/>
        </w:rPr>
        <w:t xml:space="preserve"> existence of a long-standing business or personal relationship between [</w:t>
      </w:r>
      <w:r w:rsidR="00B4168B" w:rsidRPr="00FC3AE5">
        <w:rPr>
          <w:rFonts w:ascii="Times New Roman" w:eastAsia="Arial" w:hAnsi="Times New Roman" w:cs="Times New Roman"/>
          <w:sz w:val="28"/>
          <w:szCs w:val="28"/>
          <w:u w:val="single"/>
        </w:rPr>
        <w:t>name of plaintiff</w:t>
      </w:r>
      <w:r w:rsidR="00B4168B" w:rsidRPr="00FC3AE5">
        <w:rPr>
          <w:rFonts w:ascii="Times New Roman" w:eastAsia="Arial" w:hAnsi="Times New Roman" w:cs="Times New Roman"/>
          <w:sz w:val="28"/>
          <w:szCs w:val="28"/>
        </w:rPr>
        <w:t>] and [</w:t>
      </w:r>
      <w:r w:rsidR="00B4168B" w:rsidRPr="00FC3AE5">
        <w:rPr>
          <w:rFonts w:ascii="Times New Roman" w:eastAsia="Arial" w:hAnsi="Times New Roman" w:cs="Times New Roman"/>
          <w:sz w:val="28"/>
          <w:szCs w:val="28"/>
          <w:u w:val="single"/>
        </w:rPr>
        <w:t>name of defendant</w:t>
      </w:r>
      <w:r w:rsidR="00B4168B" w:rsidRPr="00FC3AE5">
        <w:rPr>
          <w:rFonts w:ascii="Times New Roman" w:eastAsia="Arial" w:hAnsi="Times New Roman" w:cs="Times New Roman"/>
          <w:sz w:val="28"/>
          <w:szCs w:val="28"/>
        </w:rPr>
        <w:t>];</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r w:rsidR="00B4168B" w:rsidRPr="00FC3AE5">
        <w:rPr>
          <w:rFonts w:ascii="Times New Roman" w:eastAsia="Arial" w:hAnsi="Times New Roman" w:cs="Times New Roman"/>
          <w:sz w:val="28"/>
          <w:szCs w:val="28"/>
        </w:rPr>
        <w:t>[</w:t>
      </w:r>
      <w:proofErr w:type="gramStart"/>
      <w:r w:rsidR="00B4168B" w:rsidRPr="00FC3AE5">
        <w:rPr>
          <w:rFonts w:ascii="Times New Roman" w:eastAsia="Arial" w:hAnsi="Times New Roman" w:cs="Times New Roman"/>
          <w:sz w:val="28"/>
          <w:szCs w:val="28"/>
          <w:u w:val="single"/>
        </w:rPr>
        <w:t>name</w:t>
      </w:r>
      <w:proofErr w:type="gramEnd"/>
      <w:r w:rsidR="00B4168B" w:rsidRPr="00FC3AE5">
        <w:rPr>
          <w:rFonts w:ascii="Times New Roman" w:eastAsia="Arial" w:hAnsi="Times New Roman" w:cs="Times New Roman"/>
          <w:sz w:val="28"/>
          <w:szCs w:val="28"/>
          <w:u w:val="single"/>
        </w:rPr>
        <w:t xml:space="preserve"> of plaintiff</w:t>
      </w:r>
      <w:r w:rsidR="00B4168B" w:rsidRPr="00FC3AE5">
        <w:rPr>
          <w:rFonts w:ascii="Times New Roman" w:eastAsia="Arial" w:hAnsi="Times New Roman" w:cs="Times New Roman"/>
          <w:sz w:val="28"/>
          <w:szCs w:val="28"/>
        </w:rPr>
        <w:t>]’s access to relevant information;</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B4168B" w:rsidRPr="00FC3AE5">
        <w:rPr>
          <w:rFonts w:ascii="Times New Roman" w:eastAsia="Arial" w:hAnsi="Times New Roman" w:cs="Times New Roman"/>
          <w:sz w:val="28"/>
          <w:szCs w:val="28"/>
        </w:rPr>
        <w:t>whether</w:t>
      </w:r>
      <w:proofErr w:type="gramEnd"/>
      <w:r w:rsidR="00B4168B" w:rsidRPr="00FC3AE5">
        <w:rPr>
          <w:rFonts w:ascii="Times New Roman" w:eastAsia="Arial" w:hAnsi="Times New Roman" w:cs="Times New Roman"/>
          <w:sz w:val="28"/>
          <w:szCs w:val="28"/>
        </w:rPr>
        <w:t xml:space="preserve"> [</w:t>
      </w:r>
      <w:r w:rsidR="00B4168B" w:rsidRPr="00FC3AE5">
        <w:rPr>
          <w:rFonts w:ascii="Times New Roman" w:eastAsia="Arial" w:hAnsi="Times New Roman" w:cs="Times New Roman"/>
          <w:sz w:val="28"/>
          <w:szCs w:val="28"/>
          <w:u w:val="single"/>
        </w:rPr>
        <w:t>name of defendant</w:t>
      </w:r>
      <w:r w:rsidR="00B4168B" w:rsidRPr="00FC3AE5">
        <w:rPr>
          <w:rFonts w:ascii="Times New Roman" w:eastAsia="Arial" w:hAnsi="Times New Roman" w:cs="Times New Roman"/>
          <w:sz w:val="28"/>
          <w:szCs w:val="28"/>
        </w:rPr>
        <w:t>] owed a fiduciary duty to [</w:t>
      </w:r>
      <w:r w:rsidR="00B4168B" w:rsidRPr="00FC3AE5">
        <w:rPr>
          <w:rFonts w:ascii="Times New Roman" w:eastAsia="Arial" w:hAnsi="Times New Roman" w:cs="Times New Roman"/>
          <w:sz w:val="28"/>
          <w:szCs w:val="28"/>
          <w:u w:val="single"/>
        </w:rPr>
        <w:t>name of plaintiff</w:t>
      </w:r>
      <w:r w:rsidR="00B4168B" w:rsidRPr="00FC3AE5">
        <w:rPr>
          <w:rFonts w:ascii="Times New Roman" w:eastAsia="Arial" w:hAnsi="Times New Roman" w:cs="Times New Roman"/>
          <w:sz w:val="28"/>
          <w:szCs w:val="28"/>
        </w:rPr>
        <w:t>];</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B4168B" w:rsidRPr="00FC3AE5">
        <w:rPr>
          <w:rFonts w:ascii="Times New Roman" w:eastAsia="Arial" w:hAnsi="Times New Roman" w:cs="Times New Roman"/>
          <w:sz w:val="28"/>
          <w:szCs w:val="28"/>
        </w:rPr>
        <w:t>whether</w:t>
      </w:r>
      <w:proofErr w:type="gramEnd"/>
      <w:r w:rsidR="00B4168B" w:rsidRPr="00FC3AE5">
        <w:rPr>
          <w:rFonts w:ascii="Times New Roman" w:eastAsia="Arial" w:hAnsi="Times New Roman" w:cs="Times New Roman"/>
          <w:sz w:val="28"/>
          <w:szCs w:val="28"/>
        </w:rPr>
        <w:t xml:space="preserve"> [</w:t>
      </w:r>
      <w:r w:rsidR="00B4168B" w:rsidRPr="00FC3AE5">
        <w:rPr>
          <w:rFonts w:ascii="Times New Roman" w:eastAsia="Arial" w:hAnsi="Times New Roman" w:cs="Times New Roman"/>
          <w:sz w:val="28"/>
          <w:szCs w:val="28"/>
          <w:u w:val="single"/>
        </w:rPr>
        <w:t>name of defendant</w:t>
      </w:r>
      <w:r w:rsidR="00B4168B" w:rsidRPr="00FC3AE5">
        <w:rPr>
          <w:rFonts w:ascii="Times New Roman" w:eastAsia="Arial" w:hAnsi="Times New Roman" w:cs="Times New Roman"/>
          <w:sz w:val="28"/>
          <w:szCs w:val="28"/>
        </w:rPr>
        <w:t>] concealed fraud;</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B4168B" w:rsidRPr="00FC3AE5">
        <w:rPr>
          <w:rFonts w:ascii="Times New Roman" w:eastAsia="Arial" w:hAnsi="Times New Roman" w:cs="Times New Roman"/>
          <w:sz w:val="28"/>
          <w:szCs w:val="28"/>
        </w:rPr>
        <w:t>whether</w:t>
      </w:r>
      <w:proofErr w:type="gramEnd"/>
      <w:r w:rsidR="00B4168B" w:rsidRPr="00FC3AE5">
        <w:rPr>
          <w:rFonts w:ascii="Times New Roman" w:eastAsia="Arial" w:hAnsi="Times New Roman" w:cs="Times New Roman"/>
          <w:sz w:val="28"/>
          <w:szCs w:val="28"/>
        </w:rPr>
        <w:t xml:space="preserve"> [</w:t>
      </w:r>
      <w:r w:rsidR="00B4168B" w:rsidRPr="00FC3AE5">
        <w:rPr>
          <w:rFonts w:ascii="Times New Roman" w:eastAsia="Arial" w:hAnsi="Times New Roman" w:cs="Times New Roman"/>
          <w:sz w:val="28"/>
          <w:szCs w:val="28"/>
          <w:u w:val="single"/>
        </w:rPr>
        <w:t>name of plaintiff</w:t>
      </w:r>
      <w:r w:rsidR="00B4168B" w:rsidRPr="00FC3AE5">
        <w:rPr>
          <w:rFonts w:ascii="Times New Roman" w:eastAsia="Arial" w:hAnsi="Times New Roman" w:cs="Times New Roman"/>
          <w:sz w:val="28"/>
          <w:szCs w:val="28"/>
        </w:rPr>
        <w:t>] initiated the stock transaction or sought to expedite it; and</w:t>
      </w:r>
    </w:p>
    <w:p w:rsidR="00B4168B" w:rsidRPr="00FC3AE5" w:rsidRDefault="00FC3AE5" w:rsidP="00FC3AE5">
      <w:pPr>
        <w:spacing w:after="240" w:line="240" w:lineRule="auto"/>
        <w:ind w:left="864" w:right="720" w:hanging="144"/>
        <w:jc w:val="both"/>
        <w:rPr>
          <w:rFonts w:ascii="Times New Roman" w:eastAsia="Arial" w:hAnsi="Times New Roman" w:cs="Times New Roman"/>
          <w:sz w:val="28"/>
          <w:szCs w:val="28"/>
        </w:rPr>
      </w:pPr>
      <w:r>
        <w:rPr>
          <w:rFonts w:ascii="Times New Roman" w:eastAsia="Arial" w:hAnsi="Times New Roman" w:cs="Times New Roman"/>
          <w:sz w:val="20"/>
          <w:szCs w:val="20"/>
        </w:rPr>
        <w:sym w:font="Symbol" w:char="F0B7"/>
      </w:r>
      <w:r>
        <w:rPr>
          <w:rFonts w:ascii="Times New Roman" w:eastAsia="Arial" w:hAnsi="Times New Roman" w:cs="Times New Roman"/>
          <w:sz w:val="20"/>
          <w:szCs w:val="20"/>
        </w:rPr>
        <w:t xml:space="preserve"> </w:t>
      </w:r>
      <w:proofErr w:type="gramStart"/>
      <w:r w:rsidR="00B4168B" w:rsidRPr="00FC3AE5">
        <w:rPr>
          <w:rFonts w:ascii="Times New Roman" w:eastAsia="Arial" w:hAnsi="Times New Roman" w:cs="Times New Roman"/>
          <w:sz w:val="28"/>
          <w:szCs w:val="28"/>
        </w:rPr>
        <w:t>whether</w:t>
      </w:r>
      <w:proofErr w:type="gramEnd"/>
      <w:r w:rsidR="00B4168B" w:rsidRPr="00FC3AE5">
        <w:rPr>
          <w:rFonts w:ascii="Times New Roman" w:eastAsia="Arial" w:hAnsi="Times New Roman" w:cs="Times New Roman"/>
          <w:sz w:val="28"/>
          <w:szCs w:val="28"/>
        </w:rPr>
        <w:t xml:space="preserve"> [</w:t>
      </w:r>
      <w:r w:rsidR="00B4168B" w:rsidRPr="00FC3AE5">
        <w:rPr>
          <w:rFonts w:ascii="Times New Roman" w:eastAsia="Arial" w:hAnsi="Times New Roman" w:cs="Times New Roman"/>
          <w:sz w:val="28"/>
          <w:szCs w:val="28"/>
          <w:u w:val="single"/>
        </w:rPr>
        <w:t>name of defendant</w:t>
      </w:r>
      <w:r w:rsidR="00B4168B" w:rsidRPr="00FC3AE5">
        <w:rPr>
          <w:rFonts w:ascii="Times New Roman" w:eastAsia="Arial" w:hAnsi="Times New Roman" w:cs="Times New Roman"/>
          <w:sz w:val="28"/>
          <w:szCs w:val="28"/>
        </w:rPr>
        <w:t>]’s misrepresentations were general or specific.</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term “fiduciary duty” means the duty one person owes to another in special relationships of trust and confidence, in which one person justifiably expects the person who owes the duty (the fiduciary) to act in the best interests of the person to whom the duty is owed. The duties a financial advisor, an accountant, and an attorney owe to their clients are types of fiduciary duties.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consider all these factors to decide whether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reliance was justified. No single factor is enough.]</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omitted or failed to disclose material facts, then you may presume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The law assumes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have relied on material facts that were intentionally withheld.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may overcome this presumption if [he/she/it] can prove, by a preponderance of the evidence, that even if [he/she/it] had disclosed the material facts,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would have made the same decision regarding the purchase or sale of a security.]</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[Use when fraud-on-the-market theory is involved: 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didn’t rely directly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misrepresentation [or omission], you may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instead relied on the integrity and regularity of the market in which the securities were traded. In that case, if you also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deception, manipulation, or fraud affected the security’s price in the market – consequently affecting the price at which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bought or sold the security – those findings would satisfy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obligation of proving justifiable reliance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fifth element,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[he/she/it] suffered damage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alleged misrepresentation [or omission]. For damage to be the “proximate result” of a misrepresentation [or omission],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that the misrepresentation [or omission] was a substantial or significant contributing cause of</w:t>
      </w:r>
      <w:r w:rsidR="008A2AC2">
        <w:rPr>
          <w:rFonts w:ascii="Times New Roman" w:eastAsia="Arial" w:hAnsi="Times New Roman" w:cs="Times New Roman"/>
          <w:sz w:val="28"/>
          <w:szCs w:val="28"/>
        </w:rPr>
        <w:t xml:space="preserve"> the</w:t>
      </w:r>
      <w:r w:rsidRPr="00681690">
        <w:rPr>
          <w:rFonts w:ascii="Times New Roman" w:eastAsia="Arial" w:hAnsi="Times New Roman" w:cs="Times New Roman"/>
          <w:sz w:val="28"/>
          <w:szCs w:val="28"/>
        </w:rPr>
        <w:t xml:space="preserve"> [his/her/its] alleged damages. Ask yourself: If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not engaged in misrepresentation [or omission], would these damages have occurred?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doesn’t have to prove that the misrepresentation [or omission] was the sole cause of the damage, only that it was a substantial or significant contributing cause.]</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has proved [his/her/its] claim under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by a preponderance of the evidence, you must then consider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should assess the monetary amount that a preponderance of the evidence justifies as full and reasonable compensation for all of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damages – no more, no less. You must not impose or increase these compensatory damages to punish or penalize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you must not base these compensatory damages on speculation or guesswork because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can recover only [his/her/its] actual damages.</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Actual damages are calculated as the decrease in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stock value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misrepresentation [or omission] caused. The amount of damages may be expressed in the evidence on a “per-share” basis. Put another way,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may demonstrate damages by offering evidence of a dollar amount per share.</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Here,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theory of recoverable compensatory or economic damages is: [</w:t>
      </w:r>
      <w:r w:rsidRPr="00681690">
        <w:rPr>
          <w:rFonts w:ascii="Times New Roman" w:eastAsia="Arial" w:hAnsi="Times New Roman" w:cs="Times New Roman"/>
          <w:sz w:val="28"/>
          <w:szCs w:val="28"/>
          <w:u w:val="single"/>
        </w:rPr>
        <w:t>describe theory</w:t>
      </w:r>
      <w:r w:rsidRPr="00681690">
        <w:rPr>
          <w:rFonts w:ascii="Times New Roman" w:eastAsia="Arial" w:hAnsi="Times New Roman" w:cs="Times New Roman"/>
          <w:sz w:val="28"/>
          <w:szCs w:val="28"/>
        </w:rPr>
        <w:t>].]</w:t>
      </w:r>
    </w:p>
    <w:p w:rsidR="00B4168B" w:rsidRPr="00681690" w:rsidRDefault="00B4168B" w:rsidP="00FC3AE5">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be given in SEC cases: If you find that the SEC has proved one or more of its claims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 alone will determine the remedy or remedies to be imposed later.]</w:t>
      </w:r>
    </w:p>
    <w:p w:rsidR="00B4168B" w:rsidRPr="004D562F" w:rsidRDefault="00B4168B" w:rsidP="00FC3AE5">
      <w:pPr>
        <w:pBdr>
          <w:bottom w:val="single" w:sz="12" w:space="1" w:color="auto"/>
        </w:pBdr>
        <w:spacing w:after="240" w:line="240" w:lineRule="auto"/>
        <w:jc w:val="center"/>
        <w:rPr>
          <w:rFonts w:ascii="Times New Roman" w:eastAsia="Arial" w:hAnsi="Times New Roman" w:cs="Times New Roman"/>
          <w:b/>
          <w:smallCaps/>
          <w:sz w:val="28"/>
          <w:szCs w:val="28"/>
        </w:rPr>
      </w:pPr>
      <w:r w:rsidRPr="004D562F">
        <w:rPr>
          <w:rFonts w:ascii="Times New Roman" w:eastAsia="Arial" w:hAnsi="Times New Roman" w:cs="Times New Roman"/>
          <w:b/>
          <w:smallCaps/>
          <w:sz w:val="28"/>
          <w:szCs w:val="28"/>
        </w:rPr>
        <w:t>Special Interrogatories to the Jury</w:t>
      </w:r>
    </w:p>
    <w:p w:rsidR="00B4168B" w:rsidRPr="00FE73F6" w:rsidRDefault="00B4168B" w:rsidP="00FC3AE5">
      <w:pPr>
        <w:spacing w:after="0" w:line="480" w:lineRule="auto"/>
        <w:ind w:right="720" w:firstLine="720"/>
        <w:jc w:val="both"/>
        <w:rPr>
          <w:rFonts w:ascii="Times New Roman" w:eastAsia="Arial" w:hAnsi="Times New Roman" w:cs="Times New Roman"/>
          <w:b/>
          <w:sz w:val="28"/>
          <w:szCs w:val="28"/>
        </w:rPr>
      </w:pPr>
      <w:r w:rsidRPr="00FE73F6">
        <w:rPr>
          <w:rFonts w:ascii="Times New Roman" w:eastAsia="Arial" w:hAnsi="Times New Roman" w:cs="Times New Roman"/>
          <w:b/>
          <w:sz w:val="28"/>
          <w:szCs w:val="28"/>
        </w:rPr>
        <w:t>Do you find from a preponderance of the evidence:</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securities transaction involved in this case?</w:t>
      </w:r>
    </w:p>
    <w:p w:rsidR="00B4168B" w:rsidRPr="00681690" w:rsidRDefault="00B4168B" w:rsidP="00FC3AE5">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made a false representation of a material fact (or omitted a material fact) in connection with the purchase or sale of a security?</w:t>
      </w:r>
    </w:p>
    <w:p w:rsidR="00B4168B" w:rsidRPr="00681690" w:rsidRDefault="00B4168B" w:rsidP="00FC3AE5">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B4168B" w:rsidRPr="00681690" w:rsidRDefault="00B4168B" w:rsidP="00FC3AE5">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[Exclude interrogatories 4, 5, and 6 in cases brought by the SEC.]</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“justifiably relied” 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conduct?</w:t>
      </w:r>
    </w:p>
    <w:p w:rsidR="00B4168B" w:rsidRPr="00681690" w:rsidRDefault="00B4168B" w:rsidP="00FC3AE5">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bookmarkStart w:id="0" w:name="_GoBack"/>
      <w:bookmarkEnd w:id="0"/>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 as a proximate result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wrongful conduct?</w:t>
      </w:r>
    </w:p>
    <w:p w:rsidR="00B4168B" w:rsidRPr="00681690" w:rsidRDefault="00B4168B" w:rsidP="00FC3AE5">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w:t>
      </w:r>
      <w:r w:rsidR="008A2AC2">
        <w:rPr>
          <w:rFonts w:ascii="Times New Roman" w:eastAsia="Arial" w:hAnsi="Times New Roman" w:cs="Times New Roman"/>
          <w:sz w:val="28"/>
          <w:szCs w:val="28"/>
        </w:rPr>
        <w:t>ote</w:t>
      </w:r>
      <w:r w:rsidRPr="00681690">
        <w:rPr>
          <w:rFonts w:ascii="Times New Roman" w:eastAsia="Arial" w:hAnsi="Times New Roman" w:cs="Times New Roman"/>
          <w:sz w:val="28"/>
          <w:szCs w:val="28"/>
        </w:rPr>
        <w:t>: If you answered “No” to any of the preceding questions, this ends your deliberations, and your foreperson should sign and date the last page of this verdict form. If you answered “Yes” to each question, go to the next question.]</w:t>
      </w:r>
    </w:p>
    <w:p w:rsidR="00B4168B" w:rsidRPr="00681690" w:rsidRDefault="00B4168B" w:rsidP="00FC3AE5">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suffered damages?</w:t>
      </w:r>
    </w:p>
    <w:p w:rsidR="00B4168B" w:rsidRPr="00681690" w:rsidRDefault="00B4168B" w:rsidP="00FC3AE5">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B4168B" w:rsidRPr="00681690" w:rsidRDefault="00B4168B" w:rsidP="00B4168B">
      <w:pPr>
        <w:spacing w:after="0" w:line="24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“Yes,”</w:t>
      </w:r>
    </w:p>
    <w:p w:rsidR="00B4168B" w:rsidRPr="00681690" w:rsidRDefault="00B4168B" w:rsidP="00FC3AE5">
      <w:pPr>
        <w:spacing w:after="0" w:line="480" w:lineRule="auto"/>
        <w:ind w:left="2333"/>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what amount?</w:t>
      </w:r>
      <w:r w:rsidRPr="00681690">
        <w:rPr>
          <w:rFonts w:ascii="Times New Roman" w:eastAsia="Arial" w:hAnsi="Times New Roman" w:cs="Times New Roman"/>
          <w:sz w:val="28"/>
          <w:szCs w:val="28"/>
        </w:rPr>
        <w:tab/>
        <w:t xml:space="preserve"> </w:t>
      </w:r>
      <w:r w:rsidRPr="00681690">
        <w:rPr>
          <w:rFonts w:ascii="Times New Roman" w:eastAsia="Arial" w:hAnsi="Times New Roman" w:cs="Times New Roman"/>
          <w:sz w:val="28"/>
          <w:szCs w:val="28"/>
        </w:rPr>
        <w:tab/>
        <w:t>$_____________</w:t>
      </w:r>
    </w:p>
    <w:p w:rsidR="00B4168B" w:rsidRPr="00681690" w:rsidRDefault="00B4168B" w:rsidP="00FC3AE5">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B4168B" w:rsidRPr="00681690" w:rsidRDefault="00B4168B" w:rsidP="00FC3AE5">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B4168B" w:rsidRPr="00681690" w:rsidRDefault="00B4168B" w:rsidP="00FC3AE5">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B4168B" w:rsidRDefault="00B4168B" w:rsidP="00FC3AE5">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B4168B" w:rsidSect="00D660B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CD" w:rsidRDefault="00C37ECD" w:rsidP="00C37ECD">
      <w:pPr>
        <w:spacing w:after="0" w:line="240" w:lineRule="auto"/>
      </w:pPr>
      <w:r>
        <w:separator/>
      </w:r>
    </w:p>
  </w:endnote>
  <w:endnote w:type="continuationSeparator" w:id="0">
    <w:p w:rsidR="00C37ECD" w:rsidRDefault="00C37ECD" w:rsidP="00C3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CD" w:rsidRDefault="00C37ECD" w:rsidP="00C37ECD">
      <w:pPr>
        <w:spacing w:after="0" w:line="240" w:lineRule="auto"/>
      </w:pPr>
      <w:r>
        <w:separator/>
      </w:r>
    </w:p>
  </w:footnote>
  <w:footnote w:type="continuationSeparator" w:id="0">
    <w:p w:rsidR="00C37ECD" w:rsidRDefault="00C37ECD" w:rsidP="00C37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24704F"/>
    <w:rsid w:val="004441EE"/>
    <w:rsid w:val="004A301A"/>
    <w:rsid w:val="00620C71"/>
    <w:rsid w:val="00676D3C"/>
    <w:rsid w:val="006A2BE2"/>
    <w:rsid w:val="006B2CC1"/>
    <w:rsid w:val="00725167"/>
    <w:rsid w:val="0081575C"/>
    <w:rsid w:val="008A2AC2"/>
    <w:rsid w:val="00AD0927"/>
    <w:rsid w:val="00B4168B"/>
    <w:rsid w:val="00B845B3"/>
    <w:rsid w:val="00B966EE"/>
    <w:rsid w:val="00C37ECD"/>
    <w:rsid w:val="00C4295E"/>
    <w:rsid w:val="00CD564C"/>
    <w:rsid w:val="00D0772E"/>
    <w:rsid w:val="00D660BD"/>
    <w:rsid w:val="00DC18AE"/>
    <w:rsid w:val="00E70797"/>
    <w:rsid w:val="00EC4621"/>
    <w:rsid w:val="00F54B37"/>
    <w:rsid w:val="00F92023"/>
    <w:rsid w:val="00F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C3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CD"/>
  </w:style>
  <w:style w:type="paragraph" w:styleId="Footer">
    <w:name w:val="footer"/>
    <w:basedOn w:val="Normal"/>
    <w:link w:val="FooterChar"/>
    <w:uiPriority w:val="99"/>
    <w:unhideWhenUsed/>
    <w:rsid w:val="00C3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C3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CD"/>
  </w:style>
  <w:style w:type="paragraph" w:styleId="Footer">
    <w:name w:val="footer"/>
    <w:basedOn w:val="Normal"/>
    <w:link w:val="FooterChar"/>
    <w:uiPriority w:val="99"/>
    <w:unhideWhenUsed/>
    <w:rsid w:val="00C3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2254</Words>
  <Characters>12853</Characters>
  <Application>Microsoft Office Word</Application>
  <DocSecurity>0</DocSecurity>
  <Lines>107</Lines>
  <Paragraphs>30</Paragraphs>
  <ScaleCrop>false</ScaleCrop>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2014-06-09T17:37:00Z</dcterms:created>
  <dcterms:modified xsi:type="dcterms:W3CDTF">2014-06-21T00:05:00Z</dcterms:modified>
</cp:coreProperties>
</file>