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EED" w:rsidRDefault="00DD3EED" w:rsidP="00FF198C">
      <w:pPr>
        <w:spacing w:after="240" w:line="240" w:lineRule="auto"/>
        <w:jc w:val="both"/>
        <w:rPr>
          <w:rFonts w:ascii="Times New Roman" w:eastAsia="Arial" w:hAnsi="Times New Roman" w:cs="Times New Roman"/>
          <w:sz w:val="26"/>
          <w:szCs w:val="26"/>
        </w:rPr>
      </w:pPr>
      <w:bookmarkStart w:id="0" w:name="_GoBack"/>
      <w:r>
        <w:rPr>
          <w:rFonts w:ascii="Times New Roman" w:eastAsia="Arial" w:hAnsi="Times New Roman" w:cs="Times New Roman"/>
          <w:b/>
          <w:sz w:val="26"/>
          <w:szCs w:val="26"/>
          <w:u w:val="single"/>
        </w:rPr>
        <w:t>ANNOTATIONS AND COMMENTS</w:t>
      </w:r>
    </w:p>
    <w:p w:rsidR="00DD3EED" w:rsidRDefault="00DD3EED" w:rsidP="00FF198C">
      <w:pPr>
        <w:spacing w:after="240" w:line="240" w:lineRule="auto"/>
        <w:jc w:val="both"/>
        <w:rPr>
          <w:rFonts w:ascii="Times New Roman" w:eastAsia="Arial" w:hAnsi="Times New Roman" w:cs="Times New Roman"/>
          <w:sz w:val="26"/>
          <w:szCs w:val="26"/>
        </w:rPr>
      </w:pPr>
      <w:r>
        <w:rPr>
          <w:rFonts w:ascii="Times New Roman" w:eastAsia="Arial" w:hAnsi="Times New Roman" w:cs="Times New Roman"/>
          <w:sz w:val="26"/>
          <w:szCs w:val="26"/>
        </w:rPr>
        <w:t>Section 10</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of the Securities Exchange Act of 1934 [15 USC § 78j</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2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provides that:</w:t>
      </w:r>
    </w:p>
    <w:p w:rsidR="00DD3EED" w:rsidRPr="0076276F" w:rsidRDefault="00DD3EED" w:rsidP="00FF198C">
      <w:pPr>
        <w:spacing w:after="240" w:line="240" w:lineRule="auto"/>
        <w:ind w:left="720" w:right="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It shall be unlawful for any person, directly or indirectly, by the use of any </w:t>
      </w:r>
      <w:r w:rsidRPr="006D04F8">
        <w:rPr>
          <w:rFonts w:ascii="Times New Roman" w:eastAsia="Arial" w:hAnsi="Times New Roman" w:cs="Times New Roman"/>
          <w:sz w:val="26"/>
          <w:szCs w:val="26"/>
        </w:rPr>
        <w:t>means or instrumentality of interstate commerce or of the mails, or of any facility of any national securities exchange… to use or employ in connection with the purchase o</w:t>
      </w:r>
      <w:r w:rsidR="0033148F">
        <w:rPr>
          <w:rFonts w:ascii="Times New Roman" w:eastAsia="Arial" w:hAnsi="Times New Roman" w:cs="Times New Roman"/>
          <w:sz w:val="26"/>
          <w:szCs w:val="26"/>
        </w:rPr>
        <w:t>r</w:t>
      </w:r>
      <w:r w:rsidRPr="006D04F8">
        <w:rPr>
          <w:rFonts w:ascii="Times New Roman" w:eastAsia="Arial" w:hAnsi="Times New Roman" w:cs="Times New Roman"/>
          <w:sz w:val="26"/>
          <w:szCs w:val="26"/>
        </w:rPr>
        <w:t xml:space="preserve"> sale of any security registered on a national securities exchange </w:t>
      </w:r>
      <w:r w:rsidRPr="006D04F8">
        <w:rPr>
          <w:rFonts w:ascii="Times New Roman" w:hAnsi="Times New Roman" w:cs="Times New Roman"/>
          <w:sz w:val="26"/>
          <w:szCs w:val="26"/>
        </w:rPr>
        <w:t>or any security not so registered, or any securities-based swap agreement…, any manipulative or deceptive device or contrivance in contravention of such rules and regulations as the Commission may prescribe as necessary or appropriate in the public interest or for the protection of investors.</w:t>
      </w:r>
    </w:p>
    <w:p w:rsidR="00DD3EED" w:rsidRPr="00B44D5A" w:rsidRDefault="00DD3EED" w:rsidP="00FF198C">
      <w:pPr>
        <w:spacing w:after="240" w:line="240" w:lineRule="auto"/>
        <w:ind w:firstLine="720"/>
        <w:jc w:val="both"/>
        <w:rPr>
          <w:rFonts w:ascii="Times New Roman" w:eastAsia="Arial" w:hAnsi="Times New Roman" w:cs="Times New Roman"/>
          <w:sz w:val="26"/>
          <w:szCs w:val="26"/>
        </w:rPr>
      </w:pPr>
      <w:r w:rsidRPr="00B44D5A">
        <w:rPr>
          <w:rFonts w:ascii="Times New Roman" w:eastAsia="Arial" w:hAnsi="Times New Roman" w:cs="Times New Roman"/>
          <w:sz w:val="26"/>
          <w:szCs w:val="26"/>
        </w:rPr>
        <w:t xml:space="preserve">With respect to the definition of </w:t>
      </w:r>
      <w:r>
        <w:rPr>
          <w:rFonts w:ascii="Times New Roman" w:eastAsia="Arial" w:hAnsi="Times New Roman" w:cs="Times New Roman"/>
          <w:sz w:val="26"/>
          <w:szCs w:val="26"/>
        </w:rPr>
        <w:t>“</w:t>
      </w:r>
      <w:r w:rsidRPr="00B44D5A">
        <w:rPr>
          <w:rFonts w:ascii="Times New Roman" w:eastAsia="Arial" w:hAnsi="Times New Roman" w:cs="Times New Roman"/>
          <w:sz w:val="26"/>
          <w:szCs w:val="26"/>
        </w:rPr>
        <w:t>security,</w:t>
      </w:r>
      <w:r>
        <w:rPr>
          <w:rFonts w:ascii="Times New Roman" w:eastAsia="Arial" w:hAnsi="Times New Roman" w:cs="Times New Roman"/>
          <w:sz w:val="26"/>
          <w:szCs w:val="26"/>
        </w:rPr>
        <w:t>”</w:t>
      </w:r>
      <w:r w:rsidRPr="00B44D5A">
        <w:rPr>
          <w:rFonts w:ascii="Times New Roman" w:eastAsia="Arial" w:hAnsi="Times New Roman" w:cs="Times New Roman"/>
          <w:sz w:val="26"/>
          <w:szCs w:val="26"/>
        </w:rPr>
        <w:t xml:space="preserve"> </w:t>
      </w:r>
      <w:r w:rsidRPr="00B44D5A">
        <w:rPr>
          <w:rFonts w:ascii="Times New Roman" w:eastAsia="Arial" w:hAnsi="Times New Roman" w:cs="Times New Roman"/>
          <w:i/>
          <w:sz w:val="26"/>
          <w:szCs w:val="26"/>
        </w:rPr>
        <w:t>see SEC v. Edwards</w:t>
      </w:r>
      <w:r w:rsidRPr="00B44D5A">
        <w:rPr>
          <w:rFonts w:ascii="Times New Roman" w:eastAsia="Arial" w:hAnsi="Times New Roman" w:cs="Times New Roman"/>
          <w:sz w:val="26"/>
          <w:szCs w:val="26"/>
        </w:rPr>
        <w:t>, 540 U.S. 389, 124 S. Ct. 892, 157 L.</w:t>
      </w:r>
      <w:r>
        <w:rPr>
          <w:rFonts w:ascii="Times New Roman" w:eastAsia="Arial" w:hAnsi="Times New Roman" w:cs="Times New Roman"/>
          <w:sz w:val="26"/>
          <w:szCs w:val="26"/>
        </w:rPr>
        <w:t xml:space="preserve"> </w:t>
      </w:r>
      <w:r w:rsidRPr="00B44D5A">
        <w:rPr>
          <w:rFonts w:ascii="Times New Roman" w:eastAsia="Arial" w:hAnsi="Times New Roman" w:cs="Times New Roman"/>
          <w:sz w:val="26"/>
          <w:szCs w:val="26"/>
        </w:rPr>
        <w:t>Ed.</w:t>
      </w:r>
      <w:r>
        <w:rPr>
          <w:rFonts w:ascii="Times New Roman" w:eastAsia="Arial" w:hAnsi="Times New Roman" w:cs="Times New Roman"/>
          <w:sz w:val="26"/>
          <w:szCs w:val="26"/>
        </w:rPr>
        <w:t xml:space="preserve"> </w:t>
      </w:r>
      <w:r w:rsidRPr="00B44D5A">
        <w:rPr>
          <w:rFonts w:ascii="Times New Roman" w:eastAsia="Arial" w:hAnsi="Times New Roman" w:cs="Times New Roman"/>
          <w:sz w:val="26"/>
          <w:szCs w:val="26"/>
        </w:rPr>
        <w:t>2d 813 (2004) and Exchange Act Section 3</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10 </w:instrText>
      </w:r>
      <w:r>
        <w:rPr>
          <w:rFonts w:ascii="Times New Roman" w:eastAsia="Arial" w:hAnsi="Times New Roman" w:cs="Times New Roman"/>
          <w:sz w:val="26"/>
          <w:szCs w:val="26"/>
        </w:rPr>
        <w:fldChar w:fldCharType="end"/>
      </w:r>
      <w:r w:rsidRPr="00B44D5A">
        <w:rPr>
          <w:rFonts w:ascii="Times New Roman" w:eastAsia="Arial" w:hAnsi="Times New Roman" w:cs="Times New Roman"/>
          <w:sz w:val="26"/>
          <w:szCs w:val="26"/>
        </w:rPr>
        <w:t xml:space="preserve">, 15 U.S.C. </w:t>
      </w:r>
      <w:r>
        <w:rPr>
          <w:rFonts w:ascii="Times New Roman" w:eastAsia="Arial" w:hAnsi="Times New Roman" w:cs="Times New Roman"/>
          <w:sz w:val="26"/>
          <w:szCs w:val="26"/>
        </w:rPr>
        <w:t xml:space="preserve">§ </w:t>
      </w:r>
      <w:r w:rsidRPr="00B44D5A">
        <w:rPr>
          <w:rFonts w:ascii="Times New Roman" w:eastAsia="Arial" w:hAnsi="Times New Roman" w:cs="Times New Roman"/>
          <w:sz w:val="26"/>
          <w:szCs w:val="26"/>
        </w:rPr>
        <w:t>78c</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5 \s 1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10 </w:instrText>
      </w:r>
      <w:r>
        <w:rPr>
          <w:rFonts w:ascii="Times New Roman" w:eastAsia="Arial" w:hAnsi="Times New Roman" w:cs="Times New Roman"/>
          <w:sz w:val="26"/>
          <w:szCs w:val="26"/>
        </w:rPr>
        <w:fldChar w:fldCharType="end"/>
      </w:r>
      <w:r w:rsidRPr="00B44D5A">
        <w:rPr>
          <w:rFonts w:ascii="Times New Roman" w:eastAsia="Arial" w:hAnsi="Times New Roman" w:cs="Times New Roman"/>
          <w:sz w:val="26"/>
          <w:szCs w:val="26"/>
        </w:rPr>
        <w:t xml:space="preserve">. The issue of whether a particular investment is a </w:t>
      </w:r>
      <w:r>
        <w:rPr>
          <w:rFonts w:ascii="Times New Roman" w:eastAsia="Arial" w:hAnsi="Times New Roman" w:cs="Times New Roman"/>
          <w:sz w:val="26"/>
          <w:szCs w:val="26"/>
        </w:rPr>
        <w:t>“</w:t>
      </w:r>
      <w:r w:rsidRPr="00B44D5A">
        <w:rPr>
          <w:rFonts w:ascii="Times New Roman" w:eastAsia="Arial" w:hAnsi="Times New Roman" w:cs="Times New Roman"/>
          <w:sz w:val="26"/>
          <w:szCs w:val="26"/>
        </w:rPr>
        <w:t>security</w:t>
      </w:r>
      <w:r>
        <w:rPr>
          <w:rFonts w:ascii="Times New Roman" w:eastAsia="Arial" w:hAnsi="Times New Roman" w:cs="Times New Roman"/>
          <w:sz w:val="26"/>
          <w:szCs w:val="26"/>
        </w:rPr>
        <w:t>”</w:t>
      </w:r>
      <w:r w:rsidRPr="00B44D5A">
        <w:rPr>
          <w:rFonts w:ascii="Times New Roman" w:eastAsia="Arial" w:hAnsi="Times New Roman" w:cs="Times New Roman"/>
          <w:sz w:val="26"/>
          <w:szCs w:val="26"/>
        </w:rPr>
        <w:t xml:space="preserve"> is frequently a question of law for the court. </w:t>
      </w:r>
      <w:r w:rsidRPr="00B44D5A">
        <w:rPr>
          <w:rFonts w:ascii="Times New Roman" w:eastAsia="Arial" w:hAnsi="Times New Roman" w:cs="Times New Roman"/>
          <w:i/>
          <w:sz w:val="26"/>
          <w:szCs w:val="26"/>
        </w:rPr>
        <w:t>Robinson v. Glynn</w:t>
      </w:r>
      <w:r w:rsidRPr="00B44D5A">
        <w:rPr>
          <w:rFonts w:ascii="Times New Roman" w:eastAsia="Arial" w:hAnsi="Times New Roman" w:cs="Times New Roman"/>
          <w:sz w:val="26"/>
          <w:szCs w:val="26"/>
        </w:rPr>
        <w:t>, 349 F.3d 166, 170 (</w:t>
      </w:r>
      <w:r>
        <w:rPr>
          <w:rFonts w:ascii="Times New Roman" w:eastAsia="Arial" w:hAnsi="Times New Roman" w:cs="Times New Roman"/>
          <w:sz w:val="26"/>
          <w:szCs w:val="26"/>
        </w:rPr>
        <w:t>4</w:t>
      </w:r>
      <w:r w:rsidRPr="00B44D5A">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B44D5A">
        <w:rPr>
          <w:rFonts w:ascii="Times New Roman" w:eastAsia="Arial" w:hAnsi="Times New Roman" w:cs="Times New Roman"/>
          <w:sz w:val="26"/>
          <w:szCs w:val="26"/>
        </w:rPr>
        <w:t xml:space="preserve">Cir. 2003); </w:t>
      </w:r>
      <w:r w:rsidRPr="00B44D5A">
        <w:rPr>
          <w:rFonts w:ascii="Times New Roman" w:eastAsia="Arial" w:hAnsi="Times New Roman" w:cs="Times New Roman"/>
          <w:i/>
          <w:sz w:val="26"/>
          <w:szCs w:val="26"/>
        </w:rPr>
        <w:t>Ahrens v. American-Canadian Beaver Co.</w:t>
      </w:r>
      <w:r w:rsidRPr="00B44D5A">
        <w:rPr>
          <w:rFonts w:ascii="Times New Roman" w:eastAsia="Arial" w:hAnsi="Times New Roman" w:cs="Times New Roman"/>
          <w:sz w:val="26"/>
          <w:szCs w:val="26"/>
        </w:rPr>
        <w:t>, 428 F.2d 926, 928 (</w:t>
      </w:r>
      <w:r>
        <w:rPr>
          <w:rFonts w:ascii="Times New Roman" w:eastAsia="Arial" w:hAnsi="Times New Roman" w:cs="Times New Roman"/>
          <w:sz w:val="26"/>
          <w:szCs w:val="26"/>
        </w:rPr>
        <w:t>10</w:t>
      </w:r>
      <w:r w:rsidRPr="00B44D5A">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B44D5A">
        <w:rPr>
          <w:rFonts w:ascii="Times New Roman" w:eastAsia="Arial" w:hAnsi="Times New Roman" w:cs="Times New Roman"/>
          <w:sz w:val="26"/>
          <w:szCs w:val="26"/>
        </w:rPr>
        <w:t>Cir. 1970). In those cases where the court determines that the investment at issue is a security, it should so instruct the jury.</w:t>
      </w:r>
    </w:p>
    <w:p w:rsidR="00DD3EED" w:rsidRPr="00B44D5A" w:rsidRDefault="00DD3EED" w:rsidP="00FF198C">
      <w:pPr>
        <w:spacing w:after="240" w:line="240" w:lineRule="auto"/>
        <w:ind w:firstLine="720"/>
        <w:jc w:val="both"/>
        <w:rPr>
          <w:rFonts w:ascii="Times New Roman" w:eastAsia="Arial" w:hAnsi="Times New Roman" w:cs="Times New Roman"/>
          <w:sz w:val="26"/>
          <w:szCs w:val="26"/>
        </w:rPr>
      </w:pPr>
      <w:r w:rsidRPr="00B44D5A">
        <w:rPr>
          <w:rFonts w:ascii="Times New Roman" w:eastAsia="Arial" w:hAnsi="Times New Roman" w:cs="Times New Roman"/>
          <w:sz w:val="26"/>
          <w:szCs w:val="26"/>
        </w:rPr>
        <w:t xml:space="preserve">In </w:t>
      </w:r>
      <w:r w:rsidRPr="00B44D5A">
        <w:rPr>
          <w:rFonts w:ascii="Times New Roman" w:eastAsia="Arial" w:hAnsi="Times New Roman" w:cs="Times New Roman"/>
          <w:i/>
          <w:sz w:val="26"/>
          <w:szCs w:val="26"/>
        </w:rPr>
        <w:t>Gower v. Cohn</w:t>
      </w:r>
      <w:r w:rsidRPr="00B44D5A">
        <w:rPr>
          <w:rFonts w:ascii="Times New Roman" w:eastAsia="Arial" w:hAnsi="Times New Roman" w:cs="Times New Roman"/>
          <w:sz w:val="26"/>
          <w:szCs w:val="26"/>
        </w:rPr>
        <w:t>, 643 F.2d 1146, 1151 (</w:t>
      </w:r>
      <w:r>
        <w:rPr>
          <w:rFonts w:ascii="Times New Roman" w:eastAsia="Arial" w:hAnsi="Times New Roman" w:cs="Times New Roman"/>
          <w:sz w:val="26"/>
          <w:szCs w:val="26"/>
        </w:rPr>
        <w:t>5</w:t>
      </w:r>
      <w:r w:rsidRPr="00B44D5A">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B44D5A">
        <w:rPr>
          <w:rFonts w:ascii="Times New Roman" w:eastAsia="Arial" w:hAnsi="Times New Roman" w:cs="Times New Roman"/>
          <w:sz w:val="26"/>
          <w:szCs w:val="26"/>
        </w:rPr>
        <w:t>Cir. Unit B May 1981), the former Fifth Circuit held that a single interstate telephone call satisfied the jurisdictional requirement of use of any means or instrumentality of interstate commerce as long as the telephone call was made in connection with the fraudulent scheme and was an important step in the scheme.</w:t>
      </w:r>
    </w:p>
    <w:p w:rsidR="00DD3EED" w:rsidRPr="00B44D5A" w:rsidRDefault="00DD3EED" w:rsidP="00FF198C">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w:t>
      </w:r>
      <w:r w:rsidRPr="00B44D5A">
        <w:rPr>
          <w:rFonts w:ascii="Times New Roman" w:eastAsia="Arial" w:hAnsi="Times New Roman" w:cs="Times New Roman"/>
          <w:sz w:val="26"/>
          <w:szCs w:val="26"/>
        </w:rPr>
        <w:t xml:space="preserve">To succeed on a Rule 10b-5 fraud claim, a plaintiff must establish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 </w:instrText>
      </w:r>
      <w:r>
        <w:rPr>
          <w:rFonts w:ascii="Times New Roman" w:eastAsia="Arial" w:hAnsi="Times New Roman" w:cs="Times New Roman"/>
          <w:sz w:val="26"/>
          <w:szCs w:val="26"/>
        </w:rPr>
        <w:fldChar w:fldCharType="end"/>
      </w:r>
      <w:r w:rsidRPr="00B44D5A">
        <w:rPr>
          <w:rFonts w:ascii="Times New Roman" w:eastAsia="Arial" w:hAnsi="Times New Roman" w:cs="Times New Roman"/>
          <w:sz w:val="26"/>
          <w:szCs w:val="26"/>
        </w:rPr>
        <w:t xml:space="preserve"> a false statement or omission of material fact;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2 </w:instrText>
      </w:r>
      <w:r>
        <w:rPr>
          <w:rFonts w:ascii="Times New Roman" w:eastAsia="Arial" w:hAnsi="Times New Roman" w:cs="Times New Roman"/>
          <w:sz w:val="26"/>
          <w:szCs w:val="26"/>
        </w:rPr>
        <w:fldChar w:fldCharType="end"/>
      </w:r>
      <w:r w:rsidRPr="00B44D5A">
        <w:rPr>
          <w:rFonts w:ascii="Times New Roman" w:eastAsia="Arial" w:hAnsi="Times New Roman" w:cs="Times New Roman"/>
          <w:sz w:val="26"/>
          <w:szCs w:val="26"/>
        </w:rPr>
        <w:t xml:space="preserve"> made with scienter;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3 </w:instrText>
      </w:r>
      <w:r>
        <w:rPr>
          <w:rFonts w:ascii="Times New Roman" w:eastAsia="Arial" w:hAnsi="Times New Roman" w:cs="Times New Roman"/>
          <w:sz w:val="26"/>
          <w:szCs w:val="26"/>
        </w:rPr>
        <w:fldChar w:fldCharType="end"/>
      </w:r>
      <w:r w:rsidRPr="00B44D5A">
        <w:rPr>
          <w:rFonts w:ascii="Times New Roman" w:eastAsia="Arial" w:hAnsi="Times New Roman" w:cs="Times New Roman"/>
          <w:sz w:val="26"/>
          <w:szCs w:val="26"/>
        </w:rPr>
        <w:t xml:space="preserve"> upon which the plaintiff justifiably relied; </w:t>
      </w: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4 </w:instrText>
      </w:r>
      <w:r>
        <w:rPr>
          <w:rFonts w:ascii="Times New Roman" w:eastAsia="Arial" w:hAnsi="Times New Roman" w:cs="Times New Roman"/>
          <w:sz w:val="26"/>
          <w:szCs w:val="26"/>
        </w:rPr>
        <w:fldChar w:fldCharType="end"/>
      </w:r>
      <w:r w:rsidRPr="00B44D5A">
        <w:rPr>
          <w:rFonts w:ascii="Times New Roman" w:eastAsia="Arial" w:hAnsi="Times New Roman" w:cs="Times New Roman"/>
          <w:sz w:val="26"/>
          <w:szCs w:val="26"/>
        </w:rPr>
        <w:t xml:space="preserve"> that proximately caused the plaintiff</w:t>
      </w:r>
      <w:r>
        <w:rPr>
          <w:rFonts w:ascii="Times New Roman" w:eastAsia="Arial" w:hAnsi="Times New Roman" w:cs="Times New Roman"/>
          <w:sz w:val="26"/>
          <w:szCs w:val="26"/>
        </w:rPr>
        <w:t>’</w:t>
      </w:r>
      <w:r w:rsidRPr="00B44D5A">
        <w:rPr>
          <w:rFonts w:ascii="Times New Roman" w:eastAsia="Arial" w:hAnsi="Times New Roman" w:cs="Times New Roman"/>
          <w:sz w:val="26"/>
          <w:szCs w:val="26"/>
        </w:rPr>
        <w:t>s injury.</w:t>
      </w:r>
      <w:r>
        <w:rPr>
          <w:rFonts w:ascii="Times New Roman" w:eastAsia="Arial" w:hAnsi="Times New Roman" w:cs="Times New Roman"/>
          <w:sz w:val="26"/>
          <w:szCs w:val="26"/>
        </w:rPr>
        <w:t>”</w:t>
      </w:r>
      <w:r w:rsidRPr="00B44D5A">
        <w:rPr>
          <w:rFonts w:ascii="Times New Roman" w:eastAsia="Arial" w:hAnsi="Times New Roman" w:cs="Times New Roman"/>
          <w:sz w:val="26"/>
          <w:szCs w:val="26"/>
        </w:rPr>
        <w:t xml:space="preserve"> </w:t>
      </w:r>
      <w:r w:rsidRPr="00731C8D">
        <w:rPr>
          <w:rFonts w:ascii="Times New Roman" w:eastAsia="Arial" w:hAnsi="Times New Roman" w:cs="Times New Roman"/>
          <w:i/>
          <w:sz w:val="26"/>
          <w:szCs w:val="26"/>
        </w:rPr>
        <w:t>Robbins v. Koger Props., Inc.</w:t>
      </w:r>
      <w:r w:rsidRPr="00B44D5A">
        <w:rPr>
          <w:rFonts w:ascii="Times New Roman" w:eastAsia="Arial" w:hAnsi="Times New Roman" w:cs="Times New Roman"/>
          <w:sz w:val="26"/>
          <w:szCs w:val="26"/>
        </w:rPr>
        <w:t>, 116 F.3d 1441, 1447 (</w:t>
      </w:r>
      <w:r>
        <w:rPr>
          <w:rFonts w:ascii="Times New Roman" w:eastAsia="Arial" w:hAnsi="Times New Roman" w:cs="Times New Roman"/>
          <w:sz w:val="26"/>
          <w:szCs w:val="26"/>
        </w:rPr>
        <w:t>11</w:t>
      </w:r>
      <w:r w:rsidRPr="00731C8D">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B44D5A">
        <w:rPr>
          <w:rFonts w:ascii="Times New Roman" w:eastAsia="Arial" w:hAnsi="Times New Roman" w:cs="Times New Roman"/>
          <w:sz w:val="26"/>
          <w:szCs w:val="26"/>
        </w:rPr>
        <w:t xml:space="preserve">Cir. 1997) (citing </w:t>
      </w:r>
      <w:r w:rsidRPr="00731C8D">
        <w:rPr>
          <w:rFonts w:ascii="Times New Roman" w:eastAsia="Arial" w:hAnsi="Times New Roman" w:cs="Times New Roman"/>
          <w:i/>
          <w:sz w:val="26"/>
          <w:szCs w:val="26"/>
        </w:rPr>
        <w:t>Bruschi v. Brown</w:t>
      </w:r>
      <w:r w:rsidRPr="00B44D5A">
        <w:rPr>
          <w:rFonts w:ascii="Times New Roman" w:eastAsia="Arial" w:hAnsi="Times New Roman" w:cs="Times New Roman"/>
          <w:sz w:val="26"/>
          <w:szCs w:val="26"/>
        </w:rPr>
        <w:t>, 876 F.2d 1526, 1528 (</w:t>
      </w:r>
      <w:r>
        <w:rPr>
          <w:rFonts w:ascii="Times New Roman" w:eastAsia="Arial" w:hAnsi="Times New Roman" w:cs="Times New Roman"/>
          <w:sz w:val="26"/>
          <w:szCs w:val="26"/>
        </w:rPr>
        <w:t>11</w:t>
      </w:r>
      <w:r w:rsidRPr="00731C8D">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B44D5A">
        <w:rPr>
          <w:rFonts w:ascii="Times New Roman" w:eastAsia="Arial" w:hAnsi="Times New Roman" w:cs="Times New Roman"/>
          <w:sz w:val="26"/>
          <w:szCs w:val="26"/>
        </w:rPr>
        <w:t xml:space="preserve">Cir. 1989)). </w:t>
      </w:r>
      <w:r>
        <w:rPr>
          <w:rFonts w:ascii="Times New Roman" w:eastAsia="Arial" w:hAnsi="Times New Roman" w:cs="Times New Roman"/>
          <w:sz w:val="26"/>
          <w:szCs w:val="26"/>
        </w:rPr>
        <w:t>“</w:t>
      </w:r>
      <w:r w:rsidRPr="00B44D5A">
        <w:rPr>
          <w:rFonts w:ascii="Times New Roman" w:eastAsia="Arial" w:hAnsi="Times New Roman" w:cs="Times New Roman"/>
          <w:sz w:val="26"/>
          <w:szCs w:val="26"/>
        </w:rPr>
        <w:t>Scienter</w:t>
      </w:r>
      <w:r>
        <w:rPr>
          <w:rFonts w:ascii="Times New Roman" w:eastAsia="Arial" w:hAnsi="Times New Roman" w:cs="Times New Roman"/>
          <w:sz w:val="26"/>
          <w:szCs w:val="26"/>
        </w:rPr>
        <w:t>”</w:t>
      </w:r>
      <w:r w:rsidRPr="00B44D5A">
        <w:rPr>
          <w:rFonts w:ascii="Times New Roman" w:eastAsia="Arial" w:hAnsi="Times New Roman" w:cs="Times New Roman"/>
          <w:sz w:val="26"/>
          <w:szCs w:val="26"/>
        </w:rPr>
        <w:t xml:space="preserve"> is defined as </w:t>
      </w:r>
      <w:r>
        <w:rPr>
          <w:rFonts w:ascii="Times New Roman" w:eastAsia="Arial" w:hAnsi="Times New Roman" w:cs="Times New Roman"/>
          <w:sz w:val="26"/>
          <w:szCs w:val="26"/>
        </w:rPr>
        <w:t>“</w:t>
      </w:r>
      <w:r w:rsidRPr="00B44D5A">
        <w:rPr>
          <w:rFonts w:ascii="Times New Roman" w:eastAsia="Arial" w:hAnsi="Times New Roman" w:cs="Times New Roman"/>
          <w:sz w:val="26"/>
          <w:szCs w:val="26"/>
        </w:rPr>
        <w:t>a mental state embracing intent to deceive, manipulate, or defraud.</w:t>
      </w:r>
      <w:r>
        <w:rPr>
          <w:rFonts w:ascii="Times New Roman" w:eastAsia="Arial" w:hAnsi="Times New Roman" w:cs="Times New Roman"/>
          <w:sz w:val="26"/>
          <w:szCs w:val="26"/>
        </w:rPr>
        <w:t>”</w:t>
      </w:r>
      <w:r w:rsidRPr="00B44D5A">
        <w:rPr>
          <w:rFonts w:ascii="Times New Roman" w:eastAsia="Arial" w:hAnsi="Times New Roman" w:cs="Times New Roman"/>
          <w:sz w:val="26"/>
          <w:szCs w:val="26"/>
        </w:rPr>
        <w:t xml:space="preserve"> </w:t>
      </w:r>
      <w:r w:rsidRPr="00731C8D">
        <w:rPr>
          <w:rFonts w:ascii="Times New Roman" w:eastAsia="Arial" w:hAnsi="Times New Roman" w:cs="Times New Roman"/>
          <w:i/>
          <w:sz w:val="26"/>
          <w:szCs w:val="26"/>
        </w:rPr>
        <w:t>Aaron v. SEC</w:t>
      </w:r>
      <w:r w:rsidRPr="00B44D5A">
        <w:rPr>
          <w:rFonts w:ascii="Times New Roman" w:eastAsia="Arial" w:hAnsi="Times New Roman" w:cs="Times New Roman"/>
          <w:sz w:val="26"/>
          <w:szCs w:val="26"/>
        </w:rPr>
        <w:t xml:space="preserve">, 446 U.S 680, 686 n.5, 100 S. Ct. 1945, 1950 n.5, 64 L. Ed. 2d 611 (1980). In the Eleventh Circuit, </w:t>
      </w:r>
      <w:r>
        <w:rPr>
          <w:rFonts w:ascii="Times New Roman" w:eastAsia="Arial" w:hAnsi="Times New Roman" w:cs="Times New Roman"/>
          <w:sz w:val="26"/>
          <w:szCs w:val="26"/>
        </w:rPr>
        <w:t>“</w:t>
      </w:r>
      <w:r w:rsidRPr="00B44D5A">
        <w:rPr>
          <w:rFonts w:ascii="Times New Roman" w:eastAsia="Arial" w:hAnsi="Times New Roman" w:cs="Times New Roman"/>
          <w:sz w:val="26"/>
          <w:szCs w:val="26"/>
        </w:rPr>
        <w:t>scienter</w:t>
      </w:r>
      <w:r>
        <w:rPr>
          <w:rFonts w:ascii="Times New Roman" w:eastAsia="Arial" w:hAnsi="Times New Roman" w:cs="Times New Roman"/>
          <w:sz w:val="26"/>
          <w:szCs w:val="26"/>
        </w:rPr>
        <w:t>”</w:t>
      </w:r>
      <w:r w:rsidRPr="00B44D5A">
        <w:rPr>
          <w:rFonts w:ascii="Times New Roman" w:eastAsia="Arial" w:hAnsi="Times New Roman" w:cs="Times New Roman"/>
          <w:sz w:val="26"/>
          <w:szCs w:val="26"/>
        </w:rPr>
        <w:t xml:space="preserve"> may also consist of </w:t>
      </w:r>
      <w:r>
        <w:rPr>
          <w:rFonts w:ascii="Times New Roman" w:eastAsia="Arial" w:hAnsi="Times New Roman" w:cs="Times New Roman"/>
          <w:sz w:val="26"/>
          <w:szCs w:val="26"/>
        </w:rPr>
        <w:t>“</w:t>
      </w:r>
      <w:r w:rsidRPr="00B44D5A">
        <w:rPr>
          <w:rFonts w:ascii="Times New Roman" w:eastAsia="Arial" w:hAnsi="Times New Roman" w:cs="Times New Roman"/>
          <w:sz w:val="26"/>
          <w:szCs w:val="26"/>
        </w:rPr>
        <w:t>severe recklessness</w:t>
      </w:r>
      <w:r>
        <w:rPr>
          <w:rFonts w:ascii="Times New Roman" w:eastAsia="Arial" w:hAnsi="Times New Roman" w:cs="Times New Roman"/>
          <w:sz w:val="26"/>
          <w:szCs w:val="26"/>
        </w:rPr>
        <w:t>”</w:t>
      </w:r>
      <w:r w:rsidRPr="00B44D5A">
        <w:rPr>
          <w:rFonts w:ascii="Times New Roman" w:eastAsia="Arial" w:hAnsi="Times New Roman" w:cs="Times New Roman"/>
          <w:sz w:val="26"/>
          <w:szCs w:val="26"/>
        </w:rPr>
        <w:t xml:space="preserve"> by the defendant, </w:t>
      </w:r>
      <w:r w:rsidRPr="00731C8D">
        <w:rPr>
          <w:rFonts w:ascii="Times New Roman" w:eastAsia="Arial" w:hAnsi="Times New Roman" w:cs="Times New Roman"/>
          <w:i/>
          <w:sz w:val="26"/>
          <w:szCs w:val="26"/>
        </w:rPr>
        <w:t>see, e.g., Edward J. Goodman Life Income Trust v. Jabil Circuit, Inc.</w:t>
      </w:r>
      <w:r w:rsidRPr="00B44D5A">
        <w:rPr>
          <w:rFonts w:ascii="Times New Roman" w:eastAsia="Arial" w:hAnsi="Times New Roman" w:cs="Times New Roman"/>
          <w:sz w:val="26"/>
          <w:szCs w:val="26"/>
        </w:rPr>
        <w:t>, 594 F.3d 783, 790 (</w:t>
      </w:r>
      <w:r>
        <w:rPr>
          <w:rFonts w:ascii="Times New Roman" w:eastAsia="Arial" w:hAnsi="Times New Roman" w:cs="Times New Roman"/>
          <w:sz w:val="26"/>
          <w:szCs w:val="26"/>
        </w:rPr>
        <w:t>11</w:t>
      </w:r>
      <w:r w:rsidRPr="00731C8D">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B44D5A">
        <w:rPr>
          <w:rFonts w:ascii="Times New Roman" w:eastAsia="Arial" w:hAnsi="Times New Roman" w:cs="Times New Roman"/>
          <w:sz w:val="26"/>
          <w:szCs w:val="26"/>
        </w:rPr>
        <w:t xml:space="preserve">Cir. 2010); however, the Supreme Court has left open the question whether recklessness may satisfy the scienter requirement. </w:t>
      </w:r>
      <w:r w:rsidRPr="00731C8D">
        <w:rPr>
          <w:rFonts w:ascii="Times New Roman" w:eastAsia="Arial" w:hAnsi="Times New Roman" w:cs="Times New Roman"/>
          <w:i/>
          <w:sz w:val="26"/>
          <w:szCs w:val="26"/>
        </w:rPr>
        <w:t>See Matrixx Initiatives, Inc. v. Siracusano</w:t>
      </w:r>
      <w:r w:rsidRPr="00B44D5A">
        <w:rPr>
          <w:rFonts w:ascii="Times New Roman" w:eastAsia="Arial" w:hAnsi="Times New Roman" w:cs="Times New Roman"/>
          <w:sz w:val="26"/>
          <w:szCs w:val="26"/>
        </w:rPr>
        <w:t>, 131 S. Ct. 1309, 1323, 179 L.</w:t>
      </w:r>
      <w:r>
        <w:rPr>
          <w:rFonts w:ascii="Times New Roman" w:eastAsia="Arial" w:hAnsi="Times New Roman" w:cs="Times New Roman"/>
          <w:sz w:val="26"/>
          <w:szCs w:val="26"/>
        </w:rPr>
        <w:t xml:space="preserve"> </w:t>
      </w:r>
      <w:r w:rsidRPr="00B44D5A">
        <w:rPr>
          <w:rFonts w:ascii="Times New Roman" w:eastAsia="Arial" w:hAnsi="Times New Roman" w:cs="Times New Roman"/>
          <w:sz w:val="26"/>
          <w:szCs w:val="26"/>
        </w:rPr>
        <w:t>Ed.</w:t>
      </w:r>
      <w:r>
        <w:rPr>
          <w:rFonts w:ascii="Times New Roman" w:eastAsia="Arial" w:hAnsi="Times New Roman" w:cs="Times New Roman"/>
          <w:sz w:val="26"/>
          <w:szCs w:val="26"/>
        </w:rPr>
        <w:t xml:space="preserve"> </w:t>
      </w:r>
      <w:r w:rsidRPr="00B44D5A">
        <w:rPr>
          <w:rFonts w:ascii="Times New Roman" w:eastAsia="Arial" w:hAnsi="Times New Roman" w:cs="Times New Roman"/>
          <w:sz w:val="26"/>
          <w:szCs w:val="26"/>
        </w:rPr>
        <w:t>2d 398 (2011) (</w:t>
      </w:r>
      <w:r>
        <w:rPr>
          <w:rFonts w:ascii="Times New Roman" w:eastAsia="Arial" w:hAnsi="Times New Roman" w:cs="Times New Roman"/>
          <w:sz w:val="26"/>
          <w:szCs w:val="26"/>
        </w:rPr>
        <w:t>“</w:t>
      </w:r>
      <w:r w:rsidRPr="00B44D5A">
        <w:rPr>
          <w:rFonts w:ascii="Times New Roman" w:eastAsia="Arial" w:hAnsi="Times New Roman" w:cs="Times New Roman"/>
          <w:sz w:val="26"/>
          <w:szCs w:val="26"/>
        </w:rPr>
        <w:t>We have not decided whether recklessness suffices to fulfill the scienter requirement.</w:t>
      </w:r>
      <w:r>
        <w:rPr>
          <w:rFonts w:ascii="Times New Roman" w:eastAsia="Arial" w:hAnsi="Times New Roman" w:cs="Times New Roman"/>
          <w:sz w:val="26"/>
          <w:szCs w:val="26"/>
        </w:rPr>
        <w:t>”</w:t>
      </w:r>
      <w:r w:rsidRPr="00B44D5A">
        <w:rPr>
          <w:rFonts w:ascii="Times New Roman" w:eastAsia="Arial" w:hAnsi="Times New Roman" w:cs="Times New Roman"/>
          <w:sz w:val="26"/>
          <w:szCs w:val="26"/>
        </w:rPr>
        <w:t xml:space="preserve">); </w:t>
      </w:r>
      <w:r w:rsidRPr="00731C8D">
        <w:rPr>
          <w:rFonts w:ascii="Times New Roman" w:eastAsia="Arial" w:hAnsi="Times New Roman" w:cs="Times New Roman"/>
          <w:i/>
          <w:sz w:val="26"/>
          <w:szCs w:val="26"/>
        </w:rPr>
        <w:t>Tellabs, Inc. v. Makor Issues &amp; Rights, Ltd.</w:t>
      </w:r>
      <w:r w:rsidRPr="00B44D5A">
        <w:rPr>
          <w:rFonts w:ascii="Times New Roman" w:eastAsia="Arial" w:hAnsi="Times New Roman" w:cs="Times New Roman"/>
          <w:sz w:val="26"/>
          <w:szCs w:val="26"/>
        </w:rPr>
        <w:t>, 551 U.S. 308, 319 n.3, 127 S. Ct. 2499, 2507 n.3, 168 L.</w:t>
      </w:r>
      <w:r>
        <w:rPr>
          <w:rFonts w:ascii="Times New Roman" w:eastAsia="Arial" w:hAnsi="Times New Roman" w:cs="Times New Roman"/>
          <w:sz w:val="26"/>
          <w:szCs w:val="26"/>
        </w:rPr>
        <w:t xml:space="preserve"> </w:t>
      </w:r>
      <w:r w:rsidRPr="00B44D5A">
        <w:rPr>
          <w:rFonts w:ascii="Times New Roman" w:eastAsia="Arial" w:hAnsi="Times New Roman" w:cs="Times New Roman"/>
          <w:sz w:val="26"/>
          <w:szCs w:val="26"/>
        </w:rPr>
        <w:t>Ed.</w:t>
      </w:r>
      <w:r>
        <w:rPr>
          <w:rFonts w:ascii="Times New Roman" w:eastAsia="Arial" w:hAnsi="Times New Roman" w:cs="Times New Roman"/>
          <w:sz w:val="26"/>
          <w:szCs w:val="26"/>
        </w:rPr>
        <w:t xml:space="preserve"> </w:t>
      </w:r>
      <w:r w:rsidRPr="00B44D5A">
        <w:rPr>
          <w:rFonts w:ascii="Times New Roman" w:eastAsia="Arial" w:hAnsi="Times New Roman" w:cs="Times New Roman"/>
          <w:sz w:val="26"/>
          <w:szCs w:val="26"/>
        </w:rPr>
        <w:t xml:space="preserve">2d 179 (2007) (declining to decide issue because </w:t>
      </w:r>
      <w:r>
        <w:rPr>
          <w:rFonts w:ascii="Times New Roman" w:eastAsia="Arial" w:hAnsi="Times New Roman" w:cs="Times New Roman"/>
          <w:sz w:val="26"/>
          <w:szCs w:val="26"/>
        </w:rPr>
        <w:t>“</w:t>
      </w:r>
      <w:r w:rsidRPr="00B44D5A">
        <w:rPr>
          <w:rFonts w:ascii="Times New Roman" w:eastAsia="Arial" w:hAnsi="Times New Roman" w:cs="Times New Roman"/>
          <w:sz w:val="26"/>
          <w:szCs w:val="26"/>
        </w:rPr>
        <w:t>whether and when recklessness satisfies the scienter requirement is not presented in this case</w:t>
      </w:r>
      <w:r>
        <w:rPr>
          <w:rFonts w:ascii="Times New Roman" w:eastAsia="Arial" w:hAnsi="Times New Roman" w:cs="Times New Roman"/>
          <w:sz w:val="26"/>
          <w:szCs w:val="26"/>
        </w:rPr>
        <w:t>”</w:t>
      </w:r>
      <w:r w:rsidRPr="00B44D5A">
        <w:rPr>
          <w:rFonts w:ascii="Times New Roman" w:eastAsia="Arial" w:hAnsi="Times New Roman" w:cs="Times New Roman"/>
          <w:sz w:val="26"/>
          <w:szCs w:val="26"/>
        </w:rPr>
        <w:t>).</w:t>
      </w:r>
    </w:p>
    <w:p w:rsidR="00DD3EED" w:rsidRPr="00B44D5A" w:rsidRDefault="00DD3EED" w:rsidP="00FF198C">
      <w:pPr>
        <w:spacing w:after="240" w:line="240" w:lineRule="auto"/>
        <w:ind w:firstLine="720"/>
        <w:jc w:val="both"/>
        <w:rPr>
          <w:rFonts w:ascii="Times New Roman" w:eastAsia="Arial" w:hAnsi="Times New Roman" w:cs="Times New Roman"/>
          <w:sz w:val="26"/>
          <w:szCs w:val="26"/>
        </w:rPr>
      </w:pPr>
      <w:r w:rsidRPr="00B44D5A">
        <w:rPr>
          <w:rFonts w:ascii="Times New Roman" w:eastAsia="Arial" w:hAnsi="Times New Roman" w:cs="Times New Roman"/>
          <w:sz w:val="26"/>
          <w:szCs w:val="26"/>
        </w:rPr>
        <w:lastRenderedPageBreak/>
        <w:t xml:space="preserve">With respect to the causation element, </w:t>
      </w:r>
      <w:r>
        <w:rPr>
          <w:rFonts w:ascii="Times New Roman" w:eastAsia="Arial" w:hAnsi="Times New Roman" w:cs="Times New Roman"/>
          <w:sz w:val="26"/>
          <w:szCs w:val="26"/>
        </w:rPr>
        <w:t>“</w:t>
      </w:r>
      <w:r w:rsidRPr="00B44D5A">
        <w:rPr>
          <w:rFonts w:ascii="Times New Roman" w:eastAsia="Arial" w:hAnsi="Times New Roman" w:cs="Times New Roman"/>
          <w:sz w:val="26"/>
          <w:szCs w:val="26"/>
        </w:rPr>
        <w:t xml:space="preserve">a plaintiff must prove both </w:t>
      </w:r>
      <w:r>
        <w:rPr>
          <w:rFonts w:ascii="Times New Roman" w:eastAsia="Arial" w:hAnsi="Times New Roman" w:cs="Times New Roman"/>
          <w:sz w:val="26"/>
          <w:szCs w:val="26"/>
        </w:rPr>
        <w:t>‘</w:t>
      </w:r>
      <w:r w:rsidRPr="00B44D5A">
        <w:rPr>
          <w:rFonts w:ascii="Times New Roman" w:eastAsia="Arial" w:hAnsi="Times New Roman" w:cs="Times New Roman"/>
          <w:sz w:val="26"/>
          <w:szCs w:val="26"/>
        </w:rPr>
        <w:t>transaction causation</w:t>
      </w:r>
      <w:r>
        <w:rPr>
          <w:rFonts w:ascii="Times New Roman" w:eastAsia="Arial" w:hAnsi="Times New Roman" w:cs="Times New Roman"/>
          <w:sz w:val="26"/>
          <w:szCs w:val="26"/>
        </w:rPr>
        <w:t>’</w:t>
      </w:r>
      <w:r w:rsidRPr="00B44D5A">
        <w:rPr>
          <w:rFonts w:ascii="Times New Roman" w:eastAsia="Arial" w:hAnsi="Times New Roman" w:cs="Times New Roman"/>
          <w:sz w:val="26"/>
          <w:szCs w:val="26"/>
        </w:rPr>
        <w:t xml:space="preserve"> and </w:t>
      </w:r>
      <w:r>
        <w:rPr>
          <w:rFonts w:ascii="Times New Roman" w:eastAsia="Arial" w:hAnsi="Times New Roman" w:cs="Times New Roman"/>
          <w:sz w:val="26"/>
          <w:szCs w:val="26"/>
        </w:rPr>
        <w:t>‘</w:t>
      </w:r>
      <w:r w:rsidRPr="00B44D5A">
        <w:rPr>
          <w:rFonts w:ascii="Times New Roman" w:eastAsia="Arial" w:hAnsi="Times New Roman" w:cs="Times New Roman"/>
          <w:sz w:val="26"/>
          <w:szCs w:val="26"/>
        </w:rPr>
        <w:t>loss causation.</w:t>
      </w:r>
      <w:r>
        <w:rPr>
          <w:rFonts w:ascii="Times New Roman" w:eastAsia="Arial" w:hAnsi="Times New Roman" w:cs="Times New Roman"/>
          <w:sz w:val="26"/>
          <w:szCs w:val="26"/>
        </w:rPr>
        <w:t>’”</w:t>
      </w:r>
      <w:r w:rsidRPr="00B44D5A">
        <w:rPr>
          <w:rFonts w:ascii="Times New Roman" w:eastAsia="Arial" w:hAnsi="Times New Roman" w:cs="Times New Roman"/>
          <w:sz w:val="26"/>
          <w:szCs w:val="26"/>
        </w:rPr>
        <w:t xml:space="preserve"> </w:t>
      </w:r>
      <w:r w:rsidRPr="00731C8D">
        <w:rPr>
          <w:rFonts w:ascii="Times New Roman" w:eastAsia="Arial" w:hAnsi="Times New Roman" w:cs="Times New Roman"/>
          <w:i/>
          <w:sz w:val="26"/>
          <w:szCs w:val="26"/>
        </w:rPr>
        <w:t>Robbins</w:t>
      </w:r>
      <w:r w:rsidRPr="00B44D5A">
        <w:rPr>
          <w:rFonts w:ascii="Times New Roman" w:eastAsia="Arial" w:hAnsi="Times New Roman" w:cs="Times New Roman"/>
          <w:sz w:val="26"/>
          <w:szCs w:val="26"/>
        </w:rPr>
        <w:t xml:space="preserve">, 116 F.3d at 1447. The former is merely </w:t>
      </w:r>
      <w:r>
        <w:rPr>
          <w:rFonts w:ascii="Times New Roman" w:eastAsia="Arial" w:hAnsi="Times New Roman" w:cs="Times New Roman"/>
          <w:sz w:val="26"/>
          <w:szCs w:val="26"/>
        </w:rPr>
        <w:t>“</w:t>
      </w:r>
      <w:r w:rsidRPr="00B44D5A">
        <w:rPr>
          <w:rFonts w:ascii="Times New Roman" w:eastAsia="Arial" w:hAnsi="Times New Roman" w:cs="Times New Roman"/>
          <w:sz w:val="26"/>
          <w:szCs w:val="26"/>
        </w:rPr>
        <w:t>another way of describing reliance,</w:t>
      </w:r>
      <w:r>
        <w:rPr>
          <w:rFonts w:ascii="Times New Roman" w:eastAsia="Arial" w:hAnsi="Times New Roman" w:cs="Times New Roman"/>
          <w:sz w:val="26"/>
          <w:szCs w:val="26"/>
        </w:rPr>
        <w:t>”</w:t>
      </w:r>
      <w:r w:rsidRPr="00B44D5A">
        <w:rPr>
          <w:rFonts w:ascii="Times New Roman" w:eastAsia="Arial" w:hAnsi="Times New Roman" w:cs="Times New Roman"/>
          <w:sz w:val="26"/>
          <w:szCs w:val="26"/>
        </w:rPr>
        <w:t xml:space="preserve"> while the latter concerns </w:t>
      </w:r>
      <w:r>
        <w:rPr>
          <w:rFonts w:ascii="Times New Roman" w:eastAsia="Arial" w:hAnsi="Times New Roman" w:cs="Times New Roman"/>
          <w:sz w:val="26"/>
          <w:szCs w:val="26"/>
        </w:rPr>
        <w:t>“</w:t>
      </w:r>
      <w:r w:rsidRPr="00B44D5A">
        <w:rPr>
          <w:rFonts w:ascii="Times New Roman" w:eastAsia="Arial" w:hAnsi="Times New Roman" w:cs="Times New Roman"/>
          <w:sz w:val="26"/>
          <w:szCs w:val="26"/>
        </w:rPr>
        <w:t>the link between the defendant</w:t>
      </w:r>
      <w:r>
        <w:rPr>
          <w:rFonts w:ascii="Times New Roman" w:eastAsia="Arial" w:hAnsi="Times New Roman" w:cs="Times New Roman"/>
          <w:sz w:val="26"/>
          <w:szCs w:val="26"/>
        </w:rPr>
        <w:t>’</w:t>
      </w:r>
      <w:r w:rsidRPr="00B44D5A">
        <w:rPr>
          <w:rFonts w:ascii="Times New Roman" w:eastAsia="Arial" w:hAnsi="Times New Roman" w:cs="Times New Roman"/>
          <w:sz w:val="26"/>
          <w:szCs w:val="26"/>
        </w:rPr>
        <w:t>s misconduct and the plaintiff</w:t>
      </w:r>
      <w:r>
        <w:rPr>
          <w:rFonts w:ascii="Times New Roman" w:eastAsia="Arial" w:hAnsi="Times New Roman" w:cs="Times New Roman"/>
          <w:sz w:val="26"/>
          <w:szCs w:val="26"/>
        </w:rPr>
        <w:t>’</w:t>
      </w:r>
      <w:r w:rsidRPr="00B44D5A">
        <w:rPr>
          <w:rFonts w:ascii="Times New Roman" w:eastAsia="Arial" w:hAnsi="Times New Roman" w:cs="Times New Roman"/>
          <w:sz w:val="26"/>
          <w:szCs w:val="26"/>
        </w:rPr>
        <w:t>s economic loss.</w:t>
      </w:r>
      <w:r>
        <w:rPr>
          <w:rFonts w:ascii="Times New Roman" w:eastAsia="Arial" w:hAnsi="Times New Roman" w:cs="Times New Roman"/>
          <w:sz w:val="26"/>
          <w:szCs w:val="26"/>
        </w:rPr>
        <w:t>”</w:t>
      </w:r>
      <w:r w:rsidRPr="00B44D5A">
        <w:rPr>
          <w:rFonts w:ascii="Times New Roman" w:eastAsia="Arial" w:hAnsi="Times New Roman" w:cs="Times New Roman"/>
          <w:sz w:val="26"/>
          <w:szCs w:val="26"/>
        </w:rPr>
        <w:t xml:space="preserve"> </w:t>
      </w:r>
      <w:r w:rsidRPr="00731C8D">
        <w:rPr>
          <w:rFonts w:ascii="Times New Roman" w:eastAsia="Arial" w:hAnsi="Times New Roman" w:cs="Times New Roman"/>
          <w:i/>
          <w:sz w:val="26"/>
          <w:szCs w:val="26"/>
        </w:rPr>
        <w:t>Id</w:t>
      </w:r>
      <w:r w:rsidRPr="00B44D5A">
        <w:rPr>
          <w:rFonts w:ascii="Times New Roman" w:eastAsia="Arial" w:hAnsi="Times New Roman" w:cs="Times New Roman"/>
          <w:sz w:val="26"/>
          <w:szCs w:val="26"/>
        </w:rPr>
        <w:t xml:space="preserve">. Although some courts have held that, under a </w:t>
      </w:r>
      <w:r>
        <w:rPr>
          <w:rFonts w:ascii="Times New Roman" w:eastAsia="Arial" w:hAnsi="Times New Roman" w:cs="Times New Roman"/>
          <w:sz w:val="26"/>
          <w:szCs w:val="26"/>
        </w:rPr>
        <w:t>“</w:t>
      </w:r>
      <w:r w:rsidRPr="00B44D5A">
        <w:rPr>
          <w:rFonts w:ascii="Times New Roman" w:eastAsia="Arial" w:hAnsi="Times New Roman" w:cs="Times New Roman"/>
          <w:sz w:val="26"/>
          <w:szCs w:val="26"/>
        </w:rPr>
        <w:t>fraud-on-the-market</w:t>
      </w:r>
      <w:r>
        <w:rPr>
          <w:rFonts w:ascii="Times New Roman" w:eastAsia="Arial" w:hAnsi="Times New Roman" w:cs="Times New Roman"/>
          <w:sz w:val="26"/>
          <w:szCs w:val="26"/>
        </w:rPr>
        <w:t>”</w:t>
      </w:r>
      <w:r w:rsidRPr="00B44D5A">
        <w:rPr>
          <w:rFonts w:ascii="Times New Roman" w:eastAsia="Arial" w:hAnsi="Times New Roman" w:cs="Times New Roman"/>
          <w:sz w:val="26"/>
          <w:szCs w:val="26"/>
        </w:rPr>
        <w:t xml:space="preserve"> theory, plaintiffs may establish loss causation if they show that the price of their security on the date of purchase was inflated due to the misrepresentation, </w:t>
      </w:r>
      <w:r w:rsidRPr="00731C8D">
        <w:rPr>
          <w:rFonts w:ascii="Times New Roman" w:eastAsia="Arial" w:hAnsi="Times New Roman" w:cs="Times New Roman"/>
          <w:i/>
          <w:sz w:val="26"/>
          <w:szCs w:val="26"/>
        </w:rPr>
        <w:t>see id</w:t>
      </w:r>
      <w:r w:rsidRPr="00B44D5A">
        <w:rPr>
          <w:rFonts w:ascii="Times New Roman" w:eastAsia="Arial" w:hAnsi="Times New Roman" w:cs="Times New Roman"/>
          <w:sz w:val="26"/>
          <w:szCs w:val="26"/>
        </w:rPr>
        <w:t xml:space="preserve">. at 1448, the Eleventh Circuit has rejected such a view. Rather, </w:t>
      </w:r>
      <w:r>
        <w:rPr>
          <w:rFonts w:ascii="Times New Roman" w:eastAsia="Arial" w:hAnsi="Times New Roman" w:cs="Times New Roman"/>
          <w:sz w:val="26"/>
          <w:szCs w:val="26"/>
        </w:rPr>
        <w:t>“</w:t>
      </w:r>
      <w:r w:rsidRPr="00B44D5A">
        <w:rPr>
          <w:rFonts w:ascii="Times New Roman" w:eastAsia="Arial" w:hAnsi="Times New Roman" w:cs="Times New Roman"/>
          <w:sz w:val="26"/>
          <w:szCs w:val="26"/>
        </w:rPr>
        <w:t>the fraud on the market theory, as articulated by the Supreme Court, is used to support a rebuttable presumption of reliance, not a presumption of causation.</w:t>
      </w:r>
      <w:r>
        <w:rPr>
          <w:rFonts w:ascii="Times New Roman" w:eastAsia="Arial" w:hAnsi="Times New Roman" w:cs="Times New Roman"/>
          <w:sz w:val="26"/>
          <w:szCs w:val="26"/>
        </w:rPr>
        <w:t>”</w:t>
      </w:r>
      <w:r w:rsidRPr="00B44D5A">
        <w:rPr>
          <w:rFonts w:ascii="Times New Roman" w:eastAsia="Arial" w:hAnsi="Times New Roman" w:cs="Times New Roman"/>
          <w:sz w:val="26"/>
          <w:szCs w:val="26"/>
        </w:rPr>
        <w:t xml:space="preserve"> </w:t>
      </w:r>
      <w:r w:rsidRPr="00731C8D">
        <w:rPr>
          <w:rFonts w:ascii="Times New Roman" w:eastAsia="Arial" w:hAnsi="Times New Roman" w:cs="Times New Roman"/>
          <w:i/>
          <w:sz w:val="26"/>
          <w:szCs w:val="26"/>
        </w:rPr>
        <w:t>Id</w:t>
      </w:r>
      <w:r w:rsidRPr="00B44D5A">
        <w:rPr>
          <w:rFonts w:ascii="Times New Roman" w:eastAsia="Arial" w:hAnsi="Times New Roman" w:cs="Times New Roman"/>
          <w:sz w:val="26"/>
          <w:szCs w:val="26"/>
        </w:rPr>
        <w:t xml:space="preserve">. at 1448 (citing </w:t>
      </w:r>
      <w:r w:rsidRPr="00731C8D">
        <w:rPr>
          <w:rFonts w:ascii="Times New Roman" w:eastAsia="Arial" w:hAnsi="Times New Roman" w:cs="Times New Roman"/>
          <w:i/>
          <w:sz w:val="26"/>
          <w:szCs w:val="26"/>
        </w:rPr>
        <w:t>Basic v. Levinson</w:t>
      </w:r>
      <w:r w:rsidRPr="00B44D5A">
        <w:rPr>
          <w:rFonts w:ascii="Times New Roman" w:eastAsia="Arial" w:hAnsi="Times New Roman" w:cs="Times New Roman"/>
          <w:sz w:val="26"/>
          <w:szCs w:val="26"/>
        </w:rPr>
        <w:t>, 485 U.S. 224, 241-42, 108 S. Ct. 978, 992, 99 L.</w:t>
      </w:r>
      <w:r>
        <w:rPr>
          <w:rFonts w:ascii="Times New Roman" w:eastAsia="Arial" w:hAnsi="Times New Roman" w:cs="Times New Roman"/>
          <w:sz w:val="26"/>
          <w:szCs w:val="26"/>
        </w:rPr>
        <w:t xml:space="preserve"> </w:t>
      </w:r>
      <w:r w:rsidRPr="00B44D5A">
        <w:rPr>
          <w:rFonts w:ascii="Times New Roman" w:eastAsia="Arial" w:hAnsi="Times New Roman" w:cs="Times New Roman"/>
          <w:sz w:val="26"/>
          <w:szCs w:val="26"/>
        </w:rPr>
        <w:t>Ed.</w:t>
      </w:r>
      <w:r>
        <w:rPr>
          <w:rFonts w:ascii="Times New Roman" w:eastAsia="Arial" w:hAnsi="Times New Roman" w:cs="Times New Roman"/>
          <w:sz w:val="26"/>
          <w:szCs w:val="26"/>
        </w:rPr>
        <w:t xml:space="preserve"> </w:t>
      </w:r>
      <w:r w:rsidRPr="00B44D5A">
        <w:rPr>
          <w:rFonts w:ascii="Times New Roman" w:eastAsia="Arial" w:hAnsi="Times New Roman" w:cs="Times New Roman"/>
          <w:sz w:val="26"/>
          <w:szCs w:val="26"/>
        </w:rPr>
        <w:t>2d 194 (1988)).</w:t>
      </w:r>
    </w:p>
    <w:p w:rsidR="00DD3EED" w:rsidRPr="00B44D5A" w:rsidRDefault="00DD3EED" w:rsidP="00FF198C">
      <w:pPr>
        <w:spacing w:after="240" w:line="240" w:lineRule="auto"/>
        <w:ind w:firstLine="720"/>
        <w:jc w:val="both"/>
        <w:rPr>
          <w:rFonts w:ascii="Times New Roman" w:eastAsia="Arial" w:hAnsi="Times New Roman" w:cs="Times New Roman"/>
          <w:sz w:val="26"/>
          <w:szCs w:val="26"/>
        </w:rPr>
      </w:pPr>
      <w:r w:rsidRPr="00B44D5A">
        <w:rPr>
          <w:rFonts w:ascii="Times New Roman" w:eastAsia="Arial" w:hAnsi="Times New Roman" w:cs="Times New Roman"/>
          <w:sz w:val="26"/>
          <w:szCs w:val="26"/>
        </w:rPr>
        <w:t xml:space="preserve">In </w:t>
      </w:r>
      <w:r w:rsidRPr="00731C8D">
        <w:rPr>
          <w:rFonts w:ascii="Times New Roman" w:eastAsia="Arial" w:hAnsi="Times New Roman" w:cs="Times New Roman"/>
          <w:i/>
          <w:sz w:val="26"/>
          <w:szCs w:val="26"/>
        </w:rPr>
        <w:t>Ziemba v. Cascade Int’l, Inc.</w:t>
      </w:r>
      <w:r w:rsidRPr="00B44D5A">
        <w:rPr>
          <w:rFonts w:ascii="Times New Roman" w:eastAsia="Arial" w:hAnsi="Times New Roman" w:cs="Times New Roman"/>
          <w:sz w:val="26"/>
          <w:szCs w:val="26"/>
        </w:rPr>
        <w:t>, 256 F.3d 1194, 1205 (</w:t>
      </w:r>
      <w:r>
        <w:rPr>
          <w:rFonts w:ascii="Times New Roman" w:eastAsia="Arial" w:hAnsi="Times New Roman" w:cs="Times New Roman"/>
          <w:sz w:val="26"/>
          <w:szCs w:val="26"/>
        </w:rPr>
        <w:t>11</w:t>
      </w:r>
      <w:r w:rsidRPr="00731C8D">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B44D5A">
        <w:rPr>
          <w:rFonts w:ascii="Times New Roman" w:eastAsia="Arial" w:hAnsi="Times New Roman" w:cs="Times New Roman"/>
          <w:sz w:val="26"/>
          <w:szCs w:val="26"/>
        </w:rPr>
        <w:t xml:space="preserve">Cir. 2001), the Eleventh Circuit held that in order for secondary actors, such as a law firm or accounting firm, to be liable under Rule 10b-5, </w:t>
      </w:r>
      <w:r>
        <w:rPr>
          <w:rFonts w:ascii="Times New Roman" w:eastAsia="Arial" w:hAnsi="Times New Roman" w:cs="Times New Roman"/>
          <w:sz w:val="26"/>
          <w:szCs w:val="26"/>
        </w:rPr>
        <w:t>“</w:t>
      </w:r>
      <w:r w:rsidRPr="00B44D5A">
        <w:rPr>
          <w:rFonts w:ascii="Times New Roman" w:eastAsia="Arial" w:hAnsi="Times New Roman" w:cs="Times New Roman"/>
          <w:sz w:val="26"/>
          <w:szCs w:val="26"/>
        </w:rPr>
        <w:t>the alleged misstatement or omission upon which a plaintiff relied must have been publicly attributable to the defendant [the secondary actor] at the time that the plaintiff</w:t>
      </w:r>
      <w:r>
        <w:rPr>
          <w:rFonts w:ascii="Times New Roman" w:eastAsia="Arial" w:hAnsi="Times New Roman" w:cs="Times New Roman"/>
          <w:sz w:val="26"/>
          <w:szCs w:val="26"/>
        </w:rPr>
        <w:t>’</w:t>
      </w:r>
      <w:r w:rsidRPr="00B44D5A">
        <w:rPr>
          <w:rFonts w:ascii="Times New Roman" w:eastAsia="Arial" w:hAnsi="Times New Roman" w:cs="Times New Roman"/>
          <w:sz w:val="26"/>
          <w:szCs w:val="26"/>
        </w:rPr>
        <w:t>s investment decision was made.</w:t>
      </w:r>
      <w:r>
        <w:rPr>
          <w:rFonts w:ascii="Times New Roman" w:eastAsia="Arial" w:hAnsi="Times New Roman" w:cs="Times New Roman"/>
          <w:sz w:val="26"/>
          <w:szCs w:val="26"/>
        </w:rPr>
        <w:t xml:space="preserve">” </w:t>
      </w:r>
      <w:r w:rsidRPr="00B44D5A">
        <w:rPr>
          <w:rFonts w:ascii="Times New Roman" w:eastAsia="Arial" w:hAnsi="Times New Roman" w:cs="Times New Roman"/>
          <w:sz w:val="26"/>
          <w:szCs w:val="26"/>
        </w:rPr>
        <w:t>In a case involving a secondary actor, the jury should be instructed that, in order to prove reliance, the plaintiff is required to prove that misrepresentations publicly attributable to the secondary actor were made to the plaintiff at the time the plaintiff</w:t>
      </w:r>
      <w:r>
        <w:rPr>
          <w:rFonts w:ascii="Times New Roman" w:eastAsia="Arial" w:hAnsi="Times New Roman" w:cs="Times New Roman"/>
          <w:sz w:val="26"/>
          <w:szCs w:val="26"/>
        </w:rPr>
        <w:t>’</w:t>
      </w:r>
      <w:r w:rsidRPr="00B44D5A">
        <w:rPr>
          <w:rFonts w:ascii="Times New Roman" w:eastAsia="Arial" w:hAnsi="Times New Roman" w:cs="Times New Roman"/>
          <w:sz w:val="26"/>
          <w:szCs w:val="26"/>
        </w:rPr>
        <w:t>s investment decision was made.</w:t>
      </w:r>
    </w:p>
    <w:p w:rsidR="00DD3EED" w:rsidRPr="00B44D5A" w:rsidRDefault="00DD3EED" w:rsidP="00FF198C">
      <w:pPr>
        <w:spacing w:after="240" w:line="240" w:lineRule="auto"/>
        <w:ind w:firstLine="720"/>
        <w:jc w:val="both"/>
        <w:rPr>
          <w:rFonts w:ascii="Times New Roman" w:eastAsia="Arial" w:hAnsi="Times New Roman" w:cs="Times New Roman"/>
          <w:sz w:val="26"/>
          <w:szCs w:val="26"/>
        </w:rPr>
      </w:pPr>
      <w:r w:rsidRPr="00B44D5A">
        <w:rPr>
          <w:rFonts w:ascii="Times New Roman" w:eastAsia="Arial" w:hAnsi="Times New Roman" w:cs="Times New Roman"/>
          <w:sz w:val="26"/>
          <w:szCs w:val="26"/>
        </w:rPr>
        <w:t xml:space="preserve">A duty to correct </w:t>
      </w:r>
      <w:r>
        <w:rPr>
          <w:rFonts w:ascii="Times New Roman" w:eastAsia="Arial" w:hAnsi="Times New Roman" w:cs="Times New Roman"/>
          <w:sz w:val="26"/>
          <w:szCs w:val="26"/>
        </w:rPr>
        <w:t>“</w:t>
      </w:r>
      <w:r w:rsidRPr="00B44D5A">
        <w:rPr>
          <w:rFonts w:ascii="Times New Roman" w:eastAsia="Arial" w:hAnsi="Times New Roman" w:cs="Times New Roman"/>
          <w:sz w:val="26"/>
          <w:szCs w:val="26"/>
        </w:rPr>
        <w:t>applies when a company makes a historical statement that, at the time made, the company believed to be true, but as revealed by subsequently discovered information actually was not. The company then must correct the prior statement within a reasonable time.</w:t>
      </w:r>
      <w:r>
        <w:rPr>
          <w:rFonts w:ascii="Times New Roman" w:eastAsia="Arial" w:hAnsi="Times New Roman" w:cs="Times New Roman"/>
          <w:sz w:val="26"/>
          <w:szCs w:val="26"/>
        </w:rPr>
        <w:t>”</w:t>
      </w:r>
      <w:r w:rsidRPr="00B44D5A">
        <w:rPr>
          <w:rFonts w:ascii="Times New Roman" w:eastAsia="Arial" w:hAnsi="Times New Roman" w:cs="Times New Roman"/>
          <w:sz w:val="26"/>
          <w:szCs w:val="26"/>
        </w:rPr>
        <w:t xml:space="preserve"> </w:t>
      </w:r>
      <w:r w:rsidRPr="00731C8D">
        <w:rPr>
          <w:rFonts w:ascii="Times New Roman" w:eastAsia="Arial" w:hAnsi="Times New Roman" w:cs="Times New Roman"/>
          <w:i/>
          <w:sz w:val="26"/>
          <w:szCs w:val="26"/>
        </w:rPr>
        <w:t>Stransky v. Cummins Engine Co., Inc.</w:t>
      </w:r>
      <w:r w:rsidRPr="00B44D5A">
        <w:rPr>
          <w:rFonts w:ascii="Times New Roman" w:eastAsia="Arial" w:hAnsi="Times New Roman" w:cs="Times New Roman"/>
          <w:sz w:val="26"/>
          <w:szCs w:val="26"/>
        </w:rPr>
        <w:t>, 51 F.3d 1329, 1331 (</w:t>
      </w:r>
      <w:r>
        <w:rPr>
          <w:rFonts w:ascii="Times New Roman" w:eastAsia="Arial" w:hAnsi="Times New Roman" w:cs="Times New Roman"/>
          <w:sz w:val="26"/>
          <w:szCs w:val="26"/>
        </w:rPr>
        <w:t>7</w:t>
      </w:r>
      <w:r w:rsidRPr="00731C8D">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B44D5A">
        <w:rPr>
          <w:rFonts w:ascii="Times New Roman" w:eastAsia="Arial" w:hAnsi="Times New Roman" w:cs="Times New Roman"/>
          <w:sz w:val="26"/>
          <w:szCs w:val="26"/>
        </w:rPr>
        <w:t xml:space="preserve">Cir 1995), (citing </w:t>
      </w:r>
      <w:r w:rsidRPr="00731C8D">
        <w:rPr>
          <w:rFonts w:ascii="Times New Roman" w:eastAsia="Arial" w:hAnsi="Times New Roman" w:cs="Times New Roman"/>
          <w:i/>
          <w:sz w:val="26"/>
          <w:szCs w:val="26"/>
        </w:rPr>
        <w:t>Backman v. Polaroid Corp.</w:t>
      </w:r>
      <w:r w:rsidRPr="00B44D5A">
        <w:rPr>
          <w:rFonts w:ascii="Times New Roman" w:eastAsia="Arial" w:hAnsi="Times New Roman" w:cs="Times New Roman"/>
          <w:sz w:val="26"/>
          <w:szCs w:val="26"/>
        </w:rPr>
        <w:t>, 910 F.2d 10, 16-17 (</w:t>
      </w:r>
      <w:r>
        <w:rPr>
          <w:rFonts w:ascii="Times New Roman" w:eastAsia="Arial" w:hAnsi="Times New Roman" w:cs="Times New Roman"/>
          <w:sz w:val="26"/>
          <w:szCs w:val="26"/>
        </w:rPr>
        <w:t>1</w:t>
      </w:r>
      <w:r w:rsidRPr="00AB62F1">
        <w:rPr>
          <w:rFonts w:ascii="Times New Roman" w:eastAsia="Arial" w:hAnsi="Times New Roman" w:cs="Times New Roman"/>
          <w:sz w:val="26"/>
          <w:szCs w:val="26"/>
          <w:vertAlign w:val="superscript"/>
        </w:rPr>
        <w:t>st</w:t>
      </w:r>
      <w:r>
        <w:rPr>
          <w:rFonts w:ascii="Times New Roman" w:eastAsia="Arial" w:hAnsi="Times New Roman" w:cs="Times New Roman"/>
          <w:sz w:val="26"/>
          <w:szCs w:val="26"/>
        </w:rPr>
        <w:t xml:space="preserve"> </w:t>
      </w:r>
      <w:r w:rsidRPr="00B44D5A">
        <w:rPr>
          <w:rFonts w:ascii="Times New Roman" w:eastAsia="Arial" w:hAnsi="Times New Roman" w:cs="Times New Roman"/>
          <w:sz w:val="26"/>
          <w:szCs w:val="26"/>
        </w:rPr>
        <w:t xml:space="preserve">Cir. 1990)). </w:t>
      </w:r>
      <w:r w:rsidRPr="00731C8D">
        <w:rPr>
          <w:rFonts w:ascii="Times New Roman" w:eastAsia="Arial" w:hAnsi="Times New Roman" w:cs="Times New Roman"/>
          <w:i/>
          <w:sz w:val="26"/>
          <w:szCs w:val="26"/>
        </w:rPr>
        <w:t>See also, In re Burlington Coat Factory Secs. Litig.</w:t>
      </w:r>
      <w:r w:rsidRPr="00B44D5A">
        <w:rPr>
          <w:rFonts w:ascii="Times New Roman" w:eastAsia="Arial" w:hAnsi="Times New Roman" w:cs="Times New Roman"/>
          <w:sz w:val="26"/>
          <w:szCs w:val="26"/>
        </w:rPr>
        <w:t>, 114 F.3d 1410, 1430-32 (</w:t>
      </w:r>
      <w:r>
        <w:rPr>
          <w:rFonts w:ascii="Times New Roman" w:eastAsia="Arial" w:hAnsi="Times New Roman" w:cs="Times New Roman"/>
          <w:sz w:val="26"/>
          <w:szCs w:val="26"/>
        </w:rPr>
        <w:t>3</w:t>
      </w:r>
      <w:r w:rsidRPr="00731C8D">
        <w:rPr>
          <w:rFonts w:ascii="Times New Roman" w:eastAsia="Arial" w:hAnsi="Times New Roman" w:cs="Times New Roman"/>
          <w:sz w:val="26"/>
          <w:szCs w:val="26"/>
          <w:vertAlign w:val="superscript"/>
        </w:rPr>
        <w:t>rd</w:t>
      </w:r>
      <w:r>
        <w:rPr>
          <w:rFonts w:ascii="Times New Roman" w:eastAsia="Arial" w:hAnsi="Times New Roman" w:cs="Times New Roman"/>
          <w:sz w:val="26"/>
          <w:szCs w:val="26"/>
        </w:rPr>
        <w:t xml:space="preserve"> </w:t>
      </w:r>
      <w:r w:rsidRPr="00B44D5A">
        <w:rPr>
          <w:rFonts w:ascii="Times New Roman" w:eastAsia="Arial" w:hAnsi="Times New Roman" w:cs="Times New Roman"/>
          <w:sz w:val="26"/>
          <w:szCs w:val="26"/>
        </w:rPr>
        <w:t xml:space="preserve">Cir. 1997) (noting that a duty to correct may also arise with forward-looking statements if they are based on assumptions that the speaker later learns were incorrect when made). The duty to update is a distinct doctrine; it may apply </w:t>
      </w:r>
      <w:r>
        <w:rPr>
          <w:rFonts w:ascii="Times New Roman" w:eastAsia="Arial" w:hAnsi="Times New Roman" w:cs="Times New Roman"/>
          <w:sz w:val="26"/>
          <w:szCs w:val="26"/>
        </w:rPr>
        <w:t>“</w:t>
      </w:r>
      <w:r w:rsidRPr="00B44D5A">
        <w:rPr>
          <w:rFonts w:ascii="Times New Roman" w:eastAsia="Arial" w:hAnsi="Times New Roman" w:cs="Times New Roman"/>
          <w:sz w:val="26"/>
          <w:szCs w:val="26"/>
        </w:rPr>
        <w:t>when a company makes a forward-looking statement - a projection - that because of subsequent events becomes untrue.</w:t>
      </w:r>
      <w:r>
        <w:rPr>
          <w:rFonts w:ascii="Times New Roman" w:eastAsia="Arial" w:hAnsi="Times New Roman" w:cs="Times New Roman"/>
          <w:sz w:val="26"/>
          <w:szCs w:val="26"/>
        </w:rPr>
        <w:t>”</w:t>
      </w:r>
      <w:r w:rsidRPr="00B44D5A">
        <w:rPr>
          <w:rFonts w:ascii="Times New Roman" w:eastAsia="Arial" w:hAnsi="Times New Roman" w:cs="Times New Roman"/>
          <w:sz w:val="26"/>
          <w:szCs w:val="26"/>
        </w:rPr>
        <w:t xml:space="preserve"> </w:t>
      </w:r>
      <w:r w:rsidRPr="00731C8D">
        <w:rPr>
          <w:rFonts w:ascii="Times New Roman" w:eastAsia="Arial" w:hAnsi="Times New Roman" w:cs="Times New Roman"/>
          <w:i/>
          <w:sz w:val="26"/>
          <w:szCs w:val="26"/>
        </w:rPr>
        <w:t>Stransky</w:t>
      </w:r>
      <w:r w:rsidRPr="00B44D5A">
        <w:rPr>
          <w:rFonts w:ascii="Times New Roman" w:eastAsia="Arial" w:hAnsi="Times New Roman" w:cs="Times New Roman"/>
          <w:sz w:val="26"/>
          <w:szCs w:val="26"/>
        </w:rPr>
        <w:t xml:space="preserve">, 51 F.3d at 1332. </w:t>
      </w:r>
      <w:r w:rsidRPr="00731C8D">
        <w:rPr>
          <w:rFonts w:ascii="Times New Roman" w:eastAsia="Arial" w:hAnsi="Times New Roman" w:cs="Times New Roman"/>
          <w:i/>
          <w:sz w:val="26"/>
          <w:szCs w:val="26"/>
        </w:rPr>
        <w:t>See also, In re Int</w:t>
      </w:r>
      <w:r w:rsidRPr="00731C8D">
        <w:rPr>
          <w:rFonts w:ascii="Times New Roman" w:eastAsia="Arial" w:hAnsi="Times New Roman" w:cs="Times New Roman"/>
          <w:i/>
          <w:sz w:val="26"/>
          <w:szCs w:val="26"/>
        </w:rPr>
        <w:sym w:font="WP TypographicSymbols" w:char="003D"/>
      </w:r>
      <w:r w:rsidRPr="00731C8D">
        <w:rPr>
          <w:rFonts w:ascii="Times New Roman" w:eastAsia="Arial" w:hAnsi="Times New Roman" w:cs="Times New Roman"/>
          <w:i/>
          <w:sz w:val="26"/>
          <w:szCs w:val="26"/>
        </w:rPr>
        <w:t>l. Bus. Mach. Corp. Sec. Litig.</w:t>
      </w:r>
      <w:r w:rsidRPr="00B44D5A">
        <w:rPr>
          <w:rFonts w:ascii="Times New Roman" w:eastAsia="Arial" w:hAnsi="Times New Roman" w:cs="Times New Roman"/>
          <w:sz w:val="26"/>
          <w:szCs w:val="26"/>
        </w:rPr>
        <w:t>, 163 F.3d 102, 110 (</w:t>
      </w:r>
      <w:r>
        <w:rPr>
          <w:rFonts w:ascii="Times New Roman" w:eastAsia="Arial" w:hAnsi="Times New Roman" w:cs="Times New Roman"/>
          <w:sz w:val="26"/>
          <w:szCs w:val="26"/>
        </w:rPr>
        <w:t>2</w:t>
      </w:r>
      <w:r w:rsidRPr="00731C8D">
        <w:rPr>
          <w:rFonts w:ascii="Times New Roman" w:eastAsia="Arial" w:hAnsi="Times New Roman" w:cs="Times New Roman"/>
          <w:sz w:val="26"/>
          <w:szCs w:val="26"/>
          <w:vertAlign w:val="superscript"/>
        </w:rPr>
        <w:t>nd</w:t>
      </w:r>
      <w:r>
        <w:rPr>
          <w:rFonts w:ascii="Times New Roman" w:eastAsia="Arial" w:hAnsi="Times New Roman" w:cs="Times New Roman"/>
          <w:sz w:val="26"/>
          <w:szCs w:val="26"/>
        </w:rPr>
        <w:t xml:space="preserve"> </w:t>
      </w:r>
      <w:r w:rsidRPr="00B44D5A">
        <w:rPr>
          <w:rFonts w:ascii="Times New Roman" w:eastAsia="Arial" w:hAnsi="Times New Roman" w:cs="Times New Roman"/>
          <w:sz w:val="26"/>
          <w:szCs w:val="26"/>
        </w:rPr>
        <w:t>Cir. 1998).</w:t>
      </w:r>
    </w:p>
    <w:p w:rsidR="00725167" w:rsidRPr="00DD3EED" w:rsidRDefault="00DD3EED" w:rsidP="00FF198C">
      <w:pPr>
        <w:spacing w:after="240" w:line="240" w:lineRule="auto"/>
        <w:ind w:firstLine="720"/>
        <w:jc w:val="both"/>
        <w:rPr>
          <w:rFonts w:ascii="Times New Roman" w:eastAsia="Arial" w:hAnsi="Times New Roman" w:cs="Times New Roman"/>
          <w:sz w:val="26"/>
          <w:szCs w:val="26"/>
        </w:rPr>
      </w:pPr>
      <w:r w:rsidRPr="00B44D5A">
        <w:rPr>
          <w:rFonts w:ascii="Times New Roman" w:eastAsia="Arial" w:hAnsi="Times New Roman" w:cs="Times New Roman"/>
          <w:sz w:val="26"/>
          <w:szCs w:val="26"/>
        </w:rPr>
        <w:t xml:space="preserve">There is a split among the courts whether there is a duty to update information disclosed to the public to insure the accuracy of statements and representations previously made in light of new information or developments. The Eleventh Circuit has not addressed whether there is a duty to update. In a case where the evidence suggests a change in information or other developments and a party determines there was a duty to update, the court will need to determine if, considering the current legal authority, a duty to update information instruction is required to be given and, if so, the form of instruction to be given. </w:t>
      </w:r>
      <w:r w:rsidRPr="00731C8D">
        <w:rPr>
          <w:rFonts w:ascii="Times New Roman" w:eastAsia="Arial" w:hAnsi="Times New Roman" w:cs="Times New Roman"/>
          <w:i/>
          <w:sz w:val="26"/>
          <w:szCs w:val="26"/>
        </w:rPr>
        <w:t>See</w:t>
      </w:r>
      <w:r w:rsidRPr="00B44D5A">
        <w:rPr>
          <w:rFonts w:ascii="Times New Roman" w:eastAsia="Arial" w:hAnsi="Times New Roman" w:cs="Times New Roman"/>
          <w:sz w:val="26"/>
          <w:szCs w:val="26"/>
        </w:rPr>
        <w:t xml:space="preserve"> Eric R. Smith, Thomas D. Washburne, Jr. &amp; Uyen H. Pham, </w:t>
      </w:r>
      <w:r w:rsidRPr="00731C8D">
        <w:rPr>
          <w:rFonts w:ascii="Times New Roman" w:eastAsia="Arial" w:hAnsi="Times New Roman" w:cs="Times New Roman"/>
          <w:smallCaps/>
          <w:sz w:val="26"/>
          <w:szCs w:val="26"/>
        </w:rPr>
        <w:t>Duty to Update Previously Disclosed Information</w:t>
      </w:r>
      <w:r w:rsidRPr="00B44D5A">
        <w:rPr>
          <w:rFonts w:ascii="Times New Roman" w:eastAsia="Arial" w:hAnsi="Times New Roman" w:cs="Times New Roman"/>
          <w:sz w:val="26"/>
          <w:szCs w:val="26"/>
        </w:rPr>
        <w:t xml:space="preserve">, Practical Law Company (2011), </w:t>
      </w:r>
      <w:r w:rsidRPr="00AB62F1">
        <w:rPr>
          <w:rFonts w:ascii="Times New Roman" w:eastAsia="Arial" w:hAnsi="Times New Roman" w:cs="Times New Roman"/>
          <w:sz w:val="26"/>
          <w:szCs w:val="26"/>
        </w:rPr>
        <w:t>http://www.venable.com/files/Publication/d90ad0bd-0947-4956-aa70-1026f1ac03be/</w:t>
      </w:r>
      <w:r>
        <w:rPr>
          <w:rFonts w:ascii="Times New Roman" w:eastAsia="Arial" w:hAnsi="Times New Roman" w:cs="Times New Roman"/>
          <w:sz w:val="26"/>
          <w:szCs w:val="26"/>
        </w:rPr>
        <w:t xml:space="preserve"> </w:t>
      </w:r>
      <w:r>
        <w:rPr>
          <w:rFonts w:ascii="Times New Roman" w:eastAsia="Arial" w:hAnsi="Times New Roman" w:cs="Times New Roman"/>
          <w:sz w:val="26"/>
          <w:szCs w:val="26"/>
        </w:rPr>
        <w:lastRenderedPageBreak/>
        <w:t>P</w:t>
      </w:r>
      <w:r w:rsidRPr="00B42697">
        <w:rPr>
          <w:rFonts w:ascii="Times New Roman" w:eastAsia="Arial" w:hAnsi="Times New Roman" w:cs="Times New Roman"/>
          <w:sz w:val="26"/>
          <w:szCs w:val="26"/>
        </w:rPr>
        <w:t>resentation/PublicationAttachment/cf3d0d7f-ca04-4b19-96e1-1510529d9821/Duty_to_</w:t>
      </w:r>
      <w:r>
        <w:rPr>
          <w:rFonts w:ascii="Times New Roman" w:eastAsia="Arial" w:hAnsi="Times New Roman" w:cs="Times New Roman"/>
          <w:sz w:val="26"/>
          <w:szCs w:val="26"/>
        </w:rPr>
        <w:t xml:space="preserve"> </w:t>
      </w:r>
      <w:r w:rsidRPr="00B42697">
        <w:rPr>
          <w:rFonts w:ascii="Times New Roman" w:eastAsia="Arial" w:hAnsi="Times New Roman" w:cs="Times New Roman"/>
          <w:sz w:val="26"/>
          <w:szCs w:val="26"/>
        </w:rPr>
        <w:t>Update_Previously_Disclosed_Information.pdf.</w:t>
      </w:r>
      <w:r w:rsidRPr="00B44D5A">
        <w:rPr>
          <w:rFonts w:ascii="Times New Roman" w:eastAsia="Arial" w:hAnsi="Times New Roman" w:cs="Times New Roman"/>
          <w:sz w:val="26"/>
          <w:szCs w:val="26"/>
        </w:rPr>
        <w:t xml:space="preserve"> </w:t>
      </w:r>
      <w:r w:rsidRPr="00B42697">
        <w:rPr>
          <w:rFonts w:ascii="Times New Roman" w:eastAsia="Arial" w:hAnsi="Times New Roman" w:cs="Times New Roman"/>
          <w:i/>
          <w:sz w:val="26"/>
          <w:szCs w:val="26"/>
        </w:rPr>
        <w:t>Compare In Re Burlington Coat Factory Secs. Litig.</w:t>
      </w:r>
      <w:r w:rsidRPr="00B44D5A">
        <w:rPr>
          <w:rFonts w:ascii="Times New Roman" w:eastAsia="Arial" w:hAnsi="Times New Roman" w:cs="Times New Roman"/>
          <w:sz w:val="26"/>
          <w:szCs w:val="26"/>
        </w:rPr>
        <w:t>, 114 F.3d 1410 (</w:t>
      </w:r>
      <w:r>
        <w:rPr>
          <w:rFonts w:ascii="Times New Roman" w:eastAsia="Arial" w:hAnsi="Times New Roman" w:cs="Times New Roman"/>
          <w:sz w:val="26"/>
          <w:szCs w:val="26"/>
        </w:rPr>
        <w:t>3</w:t>
      </w:r>
      <w:r w:rsidRPr="00B42697">
        <w:rPr>
          <w:rFonts w:ascii="Times New Roman" w:eastAsia="Arial" w:hAnsi="Times New Roman" w:cs="Times New Roman"/>
          <w:sz w:val="26"/>
          <w:szCs w:val="26"/>
          <w:vertAlign w:val="superscript"/>
        </w:rPr>
        <w:t>rd</w:t>
      </w:r>
      <w:r>
        <w:rPr>
          <w:rFonts w:ascii="Times New Roman" w:eastAsia="Arial" w:hAnsi="Times New Roman" w:cs="Times New Roman"/>
          <w:sz w:val="26"/>
          <w:szCs w:val="26"/>
        </w:rPr>
        <w:t xml:space="preserve"> </w:t>
      </w:r>
      <w:r w:rsidRPr="00B44D5A">
        <w:rPr>
          <w:rFonts w:ascii="Times New Roman" w:eastAsia="Arial" w:hAnsi="Times New Roman" w:cs="Times New Roman"/>
          <w:sz w:val="26"/>
          <w:szCs w:val="26"/>
        </w:rPr>
        <w:t xml:space="preserve">Cir. 1997) (duty triggered where representation remained alive) and </w:t>
      </w:r>
      <w:r w:rsidRPr="00B42697">
        <w:rPr>
          <w:rFonts w:ascii="Times New Roman" w:eastAsia="Arial" w:hAnsi="Times New Roman" w:cs="Times New Roman"/>
          <w:i/>
          <w:sz w:val="26"/>
          <w:szCs w:val="26"/>
        </w:rPr>
        <w:t>Ill. State Bd. of Inv. v. Authentidate Holding Corp., et al.</w:t>
      </w:r>
      <w:r w:rsidRPr="00B44D5A">
        <w:rPr>
          <w:rFonts w:ascii="Times New Roman" w:eastAsia="Arial" w:hAnsi="Times New Roman" w:cs="Times New Roman"/>
          <w:sz w:val="26"/>
          <w:szCs w:val="26"/>
        </w:rPr>
        <w:t>, 369 F. App</w:t>
      </w:r>
      <w:r>
        <w:rPr>
          <w:rFonts w:ascii="Times New Roman" w:eastAsia="Arial" w:hAnsi="Times New Roman" w:cs="Times New Roman"/>
          <w:sz w:val="26"/>
          <w:szCs w:val="26"/>
        </w:rPr>
        <w:t>’</w:t>
      </w:r>
      <w:r w:rsidRPr="00B44D5A">
        <w:rPr>
          <w:rFonts w:ascii="Times New Roman" w:eastAsia="Arial" w:hAnsi="Times New Roman" w:cs="Times New Roman"/>
          <w:sz w:val="26"/>
          <w:szCs w:val="26"/>
        </w:rPr>
        <w:t>x 260 (</w:t>
      </w:r>
      <w:r>
        <w:rPr>
          <w:rFonts w:ascii="Times New Roman" w:eastAsia="Arial" w:hAnsi="Times New Roman" w:cs="Times New Roman"/>
          <w:sz w:val="26"/>
          <w:szCs w:val="26"/>
        </w:rPr>
        <w:t>2</w:t>
      </w:r>
      <w:r w:rsidRPr="00B42697">
        <w:rPr>
          <w:rFonts w:ascii="Times New Roman" w:eastAsia="Arial" w:hAnsi="Times New Roman" w:cs="Times New Roman"/>
          <w:sz w:val="26"/>
          <w:szCs w:val="26"/>
          <w:vertAlign w:val="superscript"/>
        </w:rPr>
        <w:t>nd</w:t>
      </w:r>
      <w:r>
        <w:rPr>
          <w:rFonts w:ascii="Times New Roman" w:eastAsia="Arial" w:hAnsi="Times New Roman" w:cs="Times New Roman"/>
          <w:sz w:val="26"/>
          <w:szCs w:val="26"/>
        </w:rPr>
        <w:t xml:space="preserve"> </w:t>
      </w:r>
      <w:r w:rsidRPr="00B44D5A">
        <w:rPr>
          <w:rFonts w:ascii="Times New Roman" w:eastAsia="Arial" w:hAnsi="Times New Roman" w:cs="Times New Roman"/>
          <w:sz w:val="26"/>
          <w:szCs w:val="26"/>
        </w:rPr>
        <w:t xml:space="preserve">Cir. 2010) (duty depends on significance of information and whether there were cautionary statements) </w:t>
      </w:r>
      <w:r w:rsidRPr="00B42697">
        <w:rPr>
          <w:rFonts w:ascii="Times New Roman" w:eastAsia="Arial" w:hAnsi="Times New Roman" w:cs="Times New Roman"/>
          <w:i/>
          <w:sz w:val="26"/>
          <w:szCs w:val="26"/>
        </w:rPr>
        <w:t>with Gallagher v. Abbott Laboratories</w:t>
      </w:r>
      <w:r w:rsidRPr="00B44D5A">
        <w:rPr>
          <w:rFonts w:ascii="Times New Roman" w:eastAsia="Arial" w:hAnsi="Times New Roman" w:cs="Times New Roman"/>
          <w:sz w:val="26"/>
          <w:szCs w:val="26"/>
        </w:rPr>
        <w:t>, 269 F.3d 806 (</w:t>
      </w:r>
      <w:r>
        <w:rPr>
          <w:rFonts w:ascii="Times New Roman" w:eastAsia="Arial" w:hAnsi="Times New Roman" w:cs="Times New Roman"/>
          <w:sz w:val="26"/>
          <w:szCs w:val="26"/>
        </w:rPr>
        <w:t>7</w:t>
      </w:r>
      <w:r w:rsidRPr="00B42697">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B44D5A">
        <w:rPr>
          <w:rFonts w:ascii="Times New Roman" w:eastAsia="Arial" w:hAnsi="Times New Roman" w:cs="Times New Roman"/>
          <w:sz w:val="26"/>
          <w:szCs w:val="26"/>
        </w:rPr>
        <w:t>Cir. 2001) (no duty to update).</w:t>
      </w:r>
      <w:bookmarkEnd w:id="0"/>
    </w:p>
    <w:sectPr w:rsidR="00725167" w:rsidRPr="00DD3EED" w:rsidSect="00512F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DB8" w:rsidRDefault="004B3DB8" w:rsidP="004B3DB8">
      <w:pPr>
        <w:spacing w:after="0" w:line="240" w:lineRule="auto"/>
      </w:pPr>
      <w:r>
        <w:separator/>
      </w:r>
    </w:p>
  </w:endnote>
  <w:endnote w:type="continuationSeparator" w:id="0">
    <w:p w:rsidR="004B3DB8" w:rsidRDefault="004B3DB8" w:rsidP="004B3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DB8" w:rsidRDefault="004B3DB8" w:rsidP="004B3DB8">
      <w:pPr>
        <w:spacing w:after="0" w:line="240" w:lineRule="auto"/>
      </w:pPr>
      <w:r>
        <w:separator/>
      </w:r>
    </w:p>
  </w:footnote>
  <w:footnote w:type="continuationSeparator" w:id="0">
    <w:p w:rsidR="004B3DB8" w:rsidRDefault="004B3DB8" w:rsidP="004B3D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95"/>
    <w:rsid w:val="00014B03"/>
    <w:rsid w:val="0012451E"/>
    <w:rsid w:val="001E02CA"/>
    <w:rsid w:val="001E531F"/>
    <w:rsid w:val="00240B28"/>
    <w:rsid w:val="002B67EE"/>
    <w:rsid w:val="0033148F"/>
    <w:rsid w:val="003C6FF2"/>
    <w:rsid w:val="00427B27"/>
    <w:rsid w:val="004B3DB8"/>
    <w:rsid w:val="00512F6A"/>
    <w:rsid w:val="005819CC"/>
    <w:rsid w:val="00703AA4"/>
    <w:rsid w:val="00725167"/>
    <w:rsid w:val="0076151A"/>
    <w:rsid w:val="007B150F"/>
    <w:rsid w:val="007B74C2"/>
    <w:rsid w:val="007D42A6"/>
    <w:rsid w:val="0081575C"/>
    <w:rsid w:val="0089546D"/>
    <w:rsid w:val="008B5673"/>
    <w:rsid w:val="00927349"/>
    <w:rsid w:val="009A03FE"/>
    <w:rsid w:val="00A45395"/>
    <w:rsid w:val="00AD447F"/>
    <w:rsid w:val="00BA403B"/>
    <w:rsid w:val="00C473BC"/>
    <w:rsid w:val="00DC18AE"/>
    <w:rsid w:val="00DD3EED"/>
    <w:rsid w:val="00E33549"/>
    <w:rsid w:val="00E60CBF"/>
    <w:rsid w:val="00E7659F"/>
    <w:rsid w:val="00F9797A"/>
    <w:rsid w:val="00FE61D9"/>
    <w:rsid w:val="00FF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paragraph" w:styleId="Header">
    <w:name w:val="header"/>
    <w:basedOn w:val="Normal"/>
    <w:link w:val="HeaderChar"/>
    <w:uiPriority w:val="99"/>
    <w:unhideWhenUsed/>
    <w:rsid w:val="004B3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DB8"/>
  </w:style>
  <w:style w:type="paragraph" w:styleId="Footer">
    <w:name w:val="footer"/>
    <w:basedOn w:val="Normal"/>
    <w:link w:val="FooterChar"/>
    <w:uiPriority w:val="99"/>
    <w:unhideWhenUsed/>
    <w:rsid w:val="004B3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D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paragraph" w:styleId="Header">
    <w:name w:val="header"/>
    <w:basedOn w:val="Normal"/>
    <w:link w:val="HeaderChar"/>
    <w:uiPriority w:val="99"/>
    <w:unhideWhenUsed/>
    <w:rsid w:val="004B3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DB8"/>
  </w:style>
  <w:style w:type="paragraph" w:styleId="Footer">
    <w:name w:val="footer"/>
    <w:basedOn w:val="Normal"/>
    <w:link w:val="FooterChar"/>
    <w:uiPriority w:val="99"/>
    <w:unhideWhenUsed/>
    <w:rsid w:val="004B3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6130</Characters>
  <Application>Microsoft Office Word</Application>
  <DocSecurity>0</DocSecurity>
  <Lines>51</Lines>
  <Paragraphs>14</Paragraphs>
  <ScaleCrop>false</ScaleCrop>
  <LinksUpToDate>false</LinksUpToDate>
  <CharactersWithSpaces>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2014-06-09T17:39:00Z</dcterms:created>
  <dcterms:modified xsi:type="dcterms:W3CDTF">2014-06-21T00:02:00Z</dcterms:modified>
</cp:coreProperties>
</file>