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4B" w:rsidRDefault="00BA604B" w:rsidP="005E5DC1">
      <w:pPr>
        <w:spacing w:after="240" w:line="240" w:lineRule="auto"/>
        <w:jc w:val="both"/>
        <w:rPr>
          <w:rFonts w:ascii="Times New Roman" w:eastAsia="Arial" w:hAnsi="Times New Roman" w:cs="Times New Roman"/>
          <w:sz w:val="26"/>
          <w:szCs w:val="26"/>
        </w:rPr>
      </w:pPr>
      <w:bookmarkStart w:id="0" w:name="_GoBack"/>
      <w:r>
        <w:rPr>
          <w:rFonts w:ascii="Times New Roman" w:eastAsia="Arial" w:hAnsi="Times New Roman" w:cs="Times New Roman"/>
          <w:b/>
          <w:sz w:val="26"/>
          <w:szCs w:val="26"/>
          <w:u w:val="single"/>
        </w:rPr>
        <w:t>ANNOTATIONS AND COMMENTS</w:t>
      </w:r>
    </w:p>
    <w:p w:rsidR="00BA604B" w:rsidRPr="00BF0BE3" w:rsidRDefault="00BA604B" w:rsidP="005E5DC1">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Insider Trading, Classical Theory: The language of this charge comes directly from the leading cases on insider trading, </w:t>
      </w:r>
      <w:r w:rsidRPr="00BF0BE3">
        <w:rPr>
          <w:rFonts w:ascii="Times New Roman" w:eastAsia="Arial" w:hAnsi="Times New Roman" w:cs="Times New Roman"/>
          <w:i/>
          <w:sz w:val="26"/>
          <w:szCs w:val="26"/>
        </w:rPr>
        <w:t>United States v. O’Hagan</w:t>
      </w:r>
      <w:r>
        <w:rPr>
          <w:rFonts w:ascii="Times New Roman" w:eastAsia="Arial" w:hAnsi="Times New Roman" w:cs="Times New Roman"/>
          <w:sz w:val="26"/>
          <w:szCs w:val="26"/>
        </w:rPr>
        <w:t xml:space="preserve">, 521 U.S. 642 (1997) and </w:t>
      </w:r>
      <w:r w:rsidRPr="00BF0BE3">
        <w:rPr>
          <w:rFonts w:ascii="Times New Roman" w:eastAsia="Arial" w:hAnsi="Times New Roman" w:cs="Times New Roman"/>
          <w:i/>
          <w:sz w:val="26"/>
          <w:szCs w:val="26"/>
        </w:rPr>
        <w:t>Chiarella v. United States</w:t>
      </w:r>
      <w:r>
        <w:rPr>
          <w:rFonts w:ascii="Times New Roman" w:eastAsia="Arial" w:hAnsi="Times New Roman" w:cs="Times New Roman"/>
          <w:sz w:val="26"/>
          <w:szCs w:val="26"/>
        </w:rPr>
        <w:t xml:space="preserve">, 445 U.S. 222, 228 (1980). </w:t>
      </w:r>
      <w:r w:rsidRPr="00BF0BE3">
        <w:rPr>
          <w:rFonts w:ascii="Times New Roman" w:eastAsia="Arial" w:hAnsi="Times New Roman" w:cs="Times New Roman"/>
          <w:sz w:val="26"/>
          <w:szCs w:val="26"/>
        </w:rPr>
        <w:t xml:space="preserve">In </w:t>
      </w:r>
      <w:r w:rsidRPr="00BF0BE3">
        <w:rPr>
          <w:rFonts w:ascii="Times New Roman" w:eastAsia="Arial" w:hAnsi="Times New Roman" w:cs="Times New Roman"/>
          <w:i/>
          <w:sz w:val="26"/>
          <w:szCs w:val="26"/>
        </w:rPr>
        <w:t>O’Hagan</w:t>
      </w:r>
      <w:r w:rsidRPr="00BF0BE3">
        <w:rPr>
          <w:rFonts w:ascii="Times New Roman" w:eastAsia="Arial" w:hAnsi="Times New Roman" w:cs="Times New Roman"/>
          <w:sz w:val="26"/>
          <w:szCs w:val="26"/>
        </w:rPr>
        <w:t xml:space="preserve"> the Supreme Court held that trading on material non-public information is a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device</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within the meaning of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10</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sidRPr="00BF0BE3">
        <w:rPr>
          <w:rFonts w:ascii="Times New Roman" w:eastAsia="Arial" w:hAnsi="Times New Roman" w:cs="Times New Roman"/>
          <w:sz w:val="26"/>
          <w:szCs w:val="26"/>
        </w:rPr>
        <w:t xml:space="preserve"> of the Securities Exchange Act and Rule 10b-5. </w:t>
      </w:r>
      <w:r w:rsidRPr="00BF0BE3">
        <w:rPr>
          <w:rFonts w:ascii="Times New Roman" w:eastAsia="Arial" w:hAnsi="Times New Roman" w:cs="Times New Roman"/>
          <w:i/>
          <w:sz w:val="26"/>
          <w:szCs w:val="26"/>
        </w:rPr>
        <w:t>O’Hagan</w:t>
      </w:r>
      <w:r w:rsidRPr="00BF0BE3">
        <w:rPr>
          <w:rFonts w:ascii="Times New Roman" w:eastAsia="Arial" w:hAnsi="Times New Roman" w:cs="Times New Roman"/>
          <w:sz w:val="26"/>
          <w:szCs w:val="26"/>
        </w:rPr>
        <w:t xml:space="preserve">, 521 U.S. at 655-56. Additionally, the Eleventh Circuit has held that mere possession of material, non-public information is insufficient to establish a 10b-5 violation. Rather, the Plaintiff must show that the Defendant actually used that information in trading with an intent to defraud. </w:t>
      </w:r>
      <w:r w:rsidRPr="00BF0BE3">
        <w:rPr>
          <w:rFonts w:ascii="Times New Roman" w:eastAsia="Arial" w:hAnsi="Times New Roman" w:cs="Times New Roman"/>
          <w:i/>
          <w:sz w:val="26"/>
          <w:szCs w:val="26"/>
        </w:rPr>
        <w:t>SEC v. Adler</w:t>
      </w:r>
      <w:r w:rsidRPr="00BF0BE3">
        <w:rPr>
          <w:rFonts w:ascii="Times New Roman" w:eastAsia="Arial" w:hAnsi="Times New Roman" w:cs="Times New Roman"/>
          <w:sz w:val="26"/>
          <w:szCs w:val="26"/>
        </w:rPr>
        <w:t>, 137 F.3d 1325, 1337 (</w:t>
      </w:r>
      <w:r>
        <w:rPr>
          <w:rFonts w:ascii="Times New Roman" w:eastAsia="Arial" w:hAnsi="Times New Roman" w:cs="Times New Roman"/>
          <w:sz w:val="26"/>
          <w:szCs w:val="26"/>
        </w:rPr>
        <w:t>11</w:t>
      </w:r>
      <w:r w:rsidRPr="00BF0BE3">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w:t>
      </w:r>
      <w:r w:rsidRPr="00BF0BE3">
        <w:rPr>
          <w:rFonts w:ascii="Times New Roman" w:eastAsia="Arial" w:hAnsi="Times New Roman" w:cs="Times New Roman"/>
          <w:sz w:val="26"/>
          <w:szCs w:val="26"/>
        </w:rPr>
        <w:t xml:space="preserve">ir. 1998). In a footnote in </w:t>
      </w:r>
      <w:r w:rsidRPr="00BF0BE3">
        <w:rPr>
          <w:rFonts w:ascii="Times New Roman" w:eastAsia="Arial" w:hAnsi="Times New Roman" w:cs="Times New Roman"/>
          <w:i/>
          <w:sz w:val="26"/>
          <w:szCs w:val="26"/>
        </w:rPr>
        <w:t>Adler</w:t>
      </w:r>
      <w:r w:rsidRPr="00BF0BE3">
        <w:rPr>
          <w:rFonts w:ascii="Times New Roman" w:eastAsia="Arial" w:hAnsi="Times New Roman" w:cs="Times New Roman"/>
          <w:sz w:val="26"/>
          <w:szCs w:val="26"/>
        </w:rPr>
        <w:t xml:space="preserve">, the Eleventh Circuit noted that the SEC could adopt a different standard by rule. </w:t>
      </w:r>
      <w:r w:rsidRPr="00BF0BE3">
        <w:rPr>
          <w:rFonts w:ascii="Times New Roman" w:eastAsia="Arial" w:hAnsi="Times New Roman" w:cs="Times New Roman"/>
          <w:i/>
          <w:sz w:val="26"/>
          <w:szCs w:val="26"/>
        </w:rPr>
        <w:t>Id</w:t>
      </w:r>
      <w:r w:rsidRPr="00BF0BE3">
        <w:rPr>
          <w:rFonts w:ascii="Times New Roman" w:eastAsia="Arial" w:hAnsi="Times New Roman" w:cs="Times New Roman"/>
          <w:sz w:val="26"/>
          <w:szCs w:val="26"/>
        </w:rPr>
        <w:t>. at 1337 n.33. Subsequent to the Eleventh Circuit</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s decision in </w:t>
      </w:r>
      <w:r w:rsidRPr="00BF0BE3">
        <w:rPr>
          <w:rFonts w:ascii="Times New Roman" w:eastAsia="Arial" w:hAnsi="Times New Roman" w:cs="Times New Roman"/>
          <w:i/>
          <w:sz w:val="26"/>
          <w:szCs w:val="26"/>
        </w:rPr>
        <w:t>Adler</w:t>
      </w:r>
      <w:r w:rsidRPr="00BF0BE3">
        <w:rPr>
          <w:rFonts w:ascii="Times New Roman" w:eastAsia="Arial" w:hAnsi="Times New Roman" w:cs="Times New Roman"/>
          <w:sz w:val="26"/>
          <w:szCs w:val="26"/>
        </w:rPr>
        <w:t>, the SEC adopted Rule 10b5-1</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sidRPr="00BF0BE3">
        <w:rPr>
          <w:rFonts w:ascii="Times New Roman" w:eastAsia="Arial" w:hAnsi="Times New Roman" w:cs="Times New Roman"/>
          <w:sz w:val="26"/>
          <w:szCs w:val="26"/>
        </w:rPr>
        <w:t xml:space="preserve">, quoted above, which establishes an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awareness</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standard more closely analogous to the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knowing possession</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standard adopted by the Second Circuit in </w:t>
      </w:r>
      <w:r w:rsidRPr="00BF0BE3">
        <w:rPr>
          <w:rFonts w:ascii="Times New Roman" w:eastAsia="Arial" w:hAnsi="Times New Roman" w:cs="Times New Roman"/>
          <w:i/>
          <w:sz w:val="26"/>
          <w:szCs w:val="26"/>
        </w:rPr>
        <w:t>United States v. Teicher</w:t>
      </w:r>
      <w:r w:rsidRPr="00BF0BE3">
        <w:rPr>
          <w:rFonts w:ascii="Times New Roman" w:eastAsia="Arial" w:hAnsi="Times New Roman" w:cs="Times New Roman"/>
          <w:sz w:val="26"/>
          <w:szCs w:val="26"/>
        </w:rPr>
        <w:t>, 987 F.2d 112, 120-21 (</w:t>
      </w:r>
      <w:r>
        <w:rPr>
          <w:rFonts w:ascii="Times New Roman" w:eastAsia="Arial" w:hAnsi="Times New Roman" w:cs="Times New Roman"/>
          <w:sz w:val="26"/>
          <w:szCs w:val="26"/>
        </w:rPr>
        <w:t>2</w:t>
      </w:r>
      <w:r w:rsidRPr="00BF0BE3">
        <w:rPr>
          <w:rFonts w:ascii="Times New Roman" w:eastAsia="Arial" w:hAnsi="Times New Roman" w:cs="Times New Roman"/>
          <w:sz w:val="26"/>
          <w:szCs w:val="26"/>
          <w:vertAlign w:val="superscript"/>
        </w:rPr>
        <w:t>nd</w:t>
      </w:r>
      <w:r>
        <w:rPr>
          <w:rFonts w:ascii="Times New Roman" w:eastAsia="Arial" w:hAnsi="Times New Roman" w:cs="Times New Roman"/>
          <w:sz w:val="26"/>
          <w:szCs w:val="26"/>
        </w:rPr>
        <w:t xml:space="preserve"> </w:t>
      </w:r>
      <w:r w:rsidRPr="00BF0BE3">
        <w:rPr>
          <w:rFonts w:ascii="Times New Roman" w:eastAsia="Arial" w:hAnsi="Times New Roman" w:cs="Times New Roman"/>
          <w:sz w:val="26"/>
          <w:szCs w:val="26"/>
        </w:rPr>
        <w:t xml:space="preserve">Cir. 1993), and rejected by the Eleventh Circuit in </w:t>
      </w:r>
      <w:r w:rsidRPr="00BF0BE3">
        <w:rPr>
          <w:rFonts w:ascii="Times New Roman" w:eastAsia="Arial" w:hAnsi="Times New Roman" w:cs="Times New Roman"/>
          <w:i/>
          <w:sz w:val="26"/>
          <w:szCs w:val="26"/>
        </w:rPr>
        <w:t>Adler</w:t>
      </w:r>
      <w:r w:rsidRPr="00BF0BE3">
        <w:rPr>
          <w:rFonts w:ascii="Times New Roman" w:eastAsia="Arial" w:hAnsi="Times New Roman" w:cs="Times New Roman"/>
          <w:sz w:val="26"/>
          <w:szCs w:val="26"/>
        </w:rPr>
        <w:t>. In adopting Rule 10b5-1</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sidRPr="00BF0BE3">
        <w:rPr>
          <w:rFonts w:ascii="Times New Roman" w:eastAsia="Arial" w:hAnsi="Times New Roman" w:cs="Times New Roman"/>
          <w:sz w:val="26"/>
          <w:szCs w:val="26"/>
        </w:rPr>
        <w:t xml:space="preserve">, the SEC explained that,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The awareness standard reflects the common sense notion that a trader who is aware of inside information when making a trading decision inevitably makes use of the information.</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65 Fed. Reg. 51716-01, 51727 (Aug. 24, 2000) (codified at C.F.R. pts. 240, 243, 249). Answering commentators</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criticisms regarding the imprecision of the awareness standard, the SEC stated,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Aware</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is a commonly used and well-defined English word, meaning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having knowledge; conscious; cognizant.</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w:t>
      </w:r>
      <w:r w:rsidRPr="00BF0BE3">
        <w:rPr>
          <w:rFonts w:ascii="Times New Roman" w:eastAsia="Arial" w:hAnsi="Times New Roman" w:cs="Times New Roman"/>
          <w:i/>
          <w:sz w:val="26"/>
          <w:szCs w:val="26"/>
        </w:rPr>
        <w:t>Id</w:t>
      </w:r>
      <w:r w:rsidRPr="00BF0BE3">
        <w:rPr>
          <w:rFonts w:ascii="Times New Roman" w:eastAsia="Arial" w:hAnsi="Times New Roman" w:cs="Times New Roman"/>
          <w:sz w:val="26"/>
          <w:szCs w:val="26"/>
        </w:rPr>
        <w:t xml:space="preserve">. at 51727 n.105. Since the amendment of Rule 10b-5 in 2000, the Eleventh Circuit has reaffirmed the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use</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requirement previously set forth in </w:t>
      </w:r>
      <w:r w:rsidRPr="00BF0BE3">
        <w:rPr>
          <w:rFonts w:ascii="Times New Roman" w:eastAsia="Arial" w:hAnsi="Times New Roman" w:cs="Times New Roman"/>
          <w:i/>
          <w:sz w:val="26"/>
          <w:szCs w:val="26"/>
        </w:rPr>
        <w:t>Adler</w:t>
      </w:r>
      <w:r w:rsidRPr="00BF0BE3">
        <w:rPr>
          <w:rFonts w:ascii="Times New Roman" w:eastAsia="Arial" w:hAnsi="Times New Roman" w:cs="Times New Roman"/>
          <w:sz w:val="26"/>
          <w:szCs w:val="26"/>
        </w:rPr>
        <w:t xml:space="preserve">. </w:t>
      </w:r>
      <w:r w:rsidRPr="00BF0BE3">
        <w:rPr>
          <w:rFonts w:ascii="Times New Roman" w:eastAsia="Arial" w:hAnsi="Times New Roman" w:cs="Times New Roman"/>
          <w:i/>
          <w:sz w:val="26"/>
          <w:szCs w:val="26"/>
        </w:rPr>
        <w:t>SEC v. Ginsburg</w:t>
      </w:r>
      <w:r w:rsidRPr="00BF0BE3">
        <w:rPr>
          <w:rFonts w:ascii="Times New Roman" w:eastAsia="Arial" w:hAnsi="Times New Roman" w:cs="Times New Roman"/>
          <w:sz w:val="26"/>
          <w:szCs w:val="26"/>
        </w:rPr>
        <w:t>, 362 F.3d 1292, 1297-98 (</w:t>
      </w:r>
      <w:r>
        <w:rPr>
          <w:rFonts w:ascii="Times New Roman" w:eastAsia="Arial" w:hAnsi="Times New Roman" w:cs="Times New Roman"/>
          <w:sz w:val="26"/>
          <w:szCs w:val="26"/>
        </w:rPr>
        <w:t>11</w:t>
      </w:r>
      <w:r w:rsidRPr="00BF0BE3">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2004). </w:t>
      </w:r>
      <w:r w:rsidRPr="00BF0BE3">
        <w:rPr>
          <w:rFonts w:ascii="Times New Roman" w:eastAsia="Arial" w:hAnsi="Times New Roman" w:cs="Times New Roman"/>
          <w:sz w:val="26"/>
          <w:szCs w:val="26"/>
        </w:rPr>
        <w:t>Thus, despite Rule 10b-5</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s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awareness</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standard, the Eleventh Circuit continues to interpret Rule 10b-5 as requiring the plaintiff to prove that the defendant not only possessed the material, non-public information, but also that the defendant </w:t>
      </w:r>
      <w:r w:rsidRPr="00F101C4">
        <w:rPr>
          <w:rFonts w:ascii="Times New Roman" w:eastAsia="Arial" w:hAnsi="Times New Roman" w:cs="Times New Roman"/>
          <w:sz w:val="26"/>
          <w:szCs w:val="26"/>
          <w:u w:val="single"/>
        </w:rPr>
        <w:t>used</w:t>
      </w:r>
      <w:r w:rsidRPr="00BF0BE3">
        <w:rPr>
          <w:rFonts w:ascii="Times New Roman" w:eastAsia="Arial" w:hAnsi="Times New Roman" w:cs="Times New Roman"/>
          <w:sz w:val="26"/>
          <w:szCs w:val="26"/>
        </w:rPr>
        <w:t xml:space="preserve"> the information in trading. However,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[p]roof of knowledge of such information at the time of a trade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gives rise to a strong inference of use.</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w:t>
      </w:r>
      <w:r w:rsidRPr="00BF0BE3">
        <w:rPr>
          <w:rFonts w:ascii="Times New Roman" w:eastAsia="Arial" w:hAnsi="Times New Roman" w:cs="Times New Roman"/>
          <w:i/>
          <w:sz w:val="26"/>
          <w:szCs w:val="26"/>
        </w:rPr>
        <w:t>Ginsburg</w:t>
      </w:r>
      <w:r w:rsidRPr="00BF0BE3">
        <w:rPr>
          <w:rFonts w:ascii="Times New Roman" w:eastAsia="Arial" w:hAnsi="Times New Roman" w:cs="Times New Roman"/>
          <w:sz w:val="26"/>
          <w:szCs w:val="26"/>
        </w:rPr>
        <w:t xml:space="preserve">, 362 F.3d at 1298, </w:t>
      </w:r>
      <w:r w:rsidRPr="006E4CC5">
        <w:rPr>
          <w:rFonts w:ascii="Times New Roman" w:eastAsia="Arial" w:hAnsi="Times New Roman" w:cs="Times New Roman"/>
          <w:i/>
          <w:sz w:val="26"/>
          <w:szCs w:val="26"/>
        </w:rPr>
        <w:t xml:space="preserve">quoting </w:t>
      </w:r>
      <w:r w:rsidRPr="00BF0BE3">
        <w:rPr>
          <w:rFonts w:ascii="Times New Roman" w:eastAsia="Arial" w:hAnsi="Times New Roman" w:cs="Times New Roman"/>
          <w:i/>
          <w:sz w:val="26"/>
          <w:szCs w:val="26"/>
        </w:rPr>
        <w:t>Adler</w:t>
      </w:r>
      <w:r w:rsidRPr="00BF0BE3">
        <w:rPr>
          <w:rFonts w:ascii="Times New Roman" w:eastAsia="Arial" w:hAnsi="Times New Roman" w:cs="Times New Roman"/>
          <w:sz w:val="26"/>
          <w:szCs w:val="26"/>
        </w:rPr>
        <w:t>, 137 F.3d at 1340.</w:t>
      </w:r>
    </w:p>
    <w:p w:rsidR="00BA604B" w:rsidRPr="00BF0BE3" w:rsidRDefault="00BA604B" w:rsidP="005E5DC1">
      <w:pPr>
        <w:spacing w:after="240" w:line="240" w:lineRule="auto"/>
        <w:ind w:firstLine="720"/>
        <w:jc w:val="both"/>
        <w:rPr>
          <w:rFonts w:ascii="Times New Roman" w:eastAsia="Arial" w:hAnsi="Times New Roman" w:cs="Times New Roman"/>
          <w:sz w:val="26"/>
          <w:szCs w:val="26"/>
        </w:rPr>
      </w:pPr>
      <w:r w:rsidRPr="00BF0BE3">
        <w:rPr>
          <w:rFonts w:ascii="Times New Roman" w:eastAsia="Arial" w:hAnsi="Times New Roman" w:cs="Times New Roman"/>
          <w:sz w:val="26"/>
          <w:szCs w:val="26"/>
        </w:rPr>
        <w:t xml:space="preserve">Insider Trading, Misappropriation Theory: </w:t>
      </w:r>
      <w:r w:rsidRPr="00BF0BE3">
        <w:rPr>
          <w:rFonts w:ascii="Times New Roman" w:eastAsia="Arial" w:hAnsi="Times New Roman" w:cs="Times New Roman"/>
          <w:i/>
          <w:sz w:val="26"/>
          <w:szCs w:val="26"/>
        </w:rPr>
        <w:t>O’Hagan</w:t>
      </w:r>
      <w:r w:rsidRPr="00BF0BE3">
        <w:rPr>
          <w:rFonts w:ascii="Times New Roman" w:eastAsia="Arial" w:hAnsi="Times New Roman" w:cs="Times New Roman"/>
          <w:sz w:val="26"/>
          <w:szCs w:val="26"/>
        </w:rPr>
        <w:t xml:space="preserve"> answered the question of whether someone in possession of inside information can violate 10b-5 when he trades in another company</w:t>
      </w:r>
      <w:r>
        <w:rPr>
          <w:rFonts w:ascii="Times New Roman" w:eastAsia="Arial" w:hAnsi="Times New Roman" w:cs="Times New Roman"/>
          <w:sz w:val="26"/>
          <w:szCs w:val="26"/>
        </w:rPr>
        <w:t>’</w:t>
      </w:r>
      <w:r w:rsidRPr="00BF0BE3">
        <w:rPr>
          <w:rFonts w:ascii="Times New Roman" w:eastAsia="Arial" w:hAnsi="Times New Roman" w:cs="Times New Roman"/>
          <w:sz w:val="26"/>
          <w:szCs w:val="26"/>
        </w:rPr>
        <w:t>s stock. Traditional insider trading occurs when the insider trades in his own company</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s stock and is derived from breach of fiduciary duty concepts. The Court held that trading in any securities based upon information as a result of a fiduciary duty violates Rule 10b-5. Under </w:t>
      </w:r>
      <w:r w:rsidRPr="00BF0BE3">
        <w:rPr>
          <w:rFonts w:ascii="Times New Roman" w:eastAsia="Arial" w:hAnsi="Times New Roman" w:cs="Times New Roman"/>
          <w:i/>
          <w:sz w:val="26"/>
          <w:szCs w:val="26"/>
        </w:rPr>
        <w:t>O’Hagan</w:t>
      </w:r>
      <w:r w:rsidRPr="00BF0BE3">
        <w:rPr>
          <w:rFonts w:ascii="Times New Roman" w:eastAsia="Arial" w:hAnsi="Times New Roman" w:cs="Times New Roman"/>
          <w:sz w:val="26"/>
          <w:szCs w:val="26"/>
        </w:rPr>
        <w:t>, a person violates Rule 10b-5 when that person trades on any information obtained in violation of a fiduciary duty. Probably the most common application of the misappropriation theory occurs where corporate insiders know that their company is about to launch a takeover of another company. Under the classical theory, they cannot trade in shares of their own company and under the misappropriation theory they cannot trade in the target</w:t>
      </w:r>
      <w:r>
        <w:rPr>
          <w:rFonts w:ascii="Times New Roman" w:eastAsia="Arial" w:hAnsi="Times New Roman" w:cs="Times New Roman"/>
          <w:sz w:val="26"/>
          <w:szCs w:val="26"/>
        </w:rPr>
        <w:t>’</w:t>
      </w:r>
      <w:r w:rsidRPr="00BF0BE3">
        <w:rPr>
          <w:rFonts w:ascii="Times New Roman" w:eastAsia="Arial" w:hAnsi="Times New Roman" w:cs="Times New Roman"/>
          <w:sz w:val="26"/>
          <w:szCs w:val="26"/>
        </w:rPr>
        <w:t>s shares.</w:t>
      </w:r>
    </w:p>
    <w:p w:rsidR="00BA604B" w:rsidRPr="00BF0BE3" w:rsidRDefault="00BA604B" w:rsidP="005E5DC1">
      <w:pPr>
        <w:spacing w:after="240" w:line="240" w:lineRule="auto"/>
        <w:ind w:firstLine="720"/>
        <w:jc w:val="both"/>
        <w:rPr>
          <w:rFonts w:ascii="Times New Roman" w:eastAsia="Arial" w:hAnsi="Times New Roman" w:cs="Times New Roman"/>
          <w:sz w:val="26"/>
          <w:szCs w:val="26"/>
        </w:rPr>
      </w:pPr>
      <w:r w:rsidRPr="00BF0BE3">
        <w:rPr>
          <w:rFonts w:ascii="Times New Roman" w:eastAsia="Arial" w:hAnsi="Times New Roman" w:cs="Times New Roman"/>
          <w:sz w:val="26"/>
          <w:szCs w:val="26"/>
        </w:rPr>
        <w:t xml:space="preserve">In August of 2000, the SEC adopted Rule 10b5-2 [17 C.F.R.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240.10b5-2] to </w:t>
      </w:r>
      <w:r w:rsidRPr="00BF0BE3">
        <w:rPr>
          <w:rFonts w:ascii="Times New Roman" w:eastAsia="Arial" w:hAnsi="Times New Roman" w:cs="Times New Roman"/>
          <w:sz w:val="26"/>
          <w:szCs w:val="26"/>
        </w:rPr>
        <w:lastRenderedPageBreak/>
        <w:t xml:space="preserve">clarify when a duty of trust or confidence arises between a source and recipient of material nonpublic information. Such a duty arises in three circumstances: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sidRPr="00BF0BE3">
        <w:rPr>
          <w:rFonts w:ascii="Times New Roman" w:eastAsia="Arial" w:hAnsi="Times New Roman" w:cs="Times New Roman"/>
          <w:sz w:val="26"/>
          <w:szCs w:val="26"/>
        </w:rPr>
        <w:t xml:space="preserve"> where the person agrees to maintain the information in confidence;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sidRPr="00BF0BE3">
        <w:rPr>
          <w:rFonts w:ascii="Times New Roman" w:eastAsia="Arial" w:hAnsi="Times New Roman" w:cs="Times New Roman"/>
          <w:sz w:val="26"/>
          <w:szCs w:val="26"/>
        </w:rPr>
        <w:t xml:space="preserve"> where the source and recipient have a history, pattern, or practice of sharing confidences such that the recipient knew or reasonably should have known the source expected the information to be kept in confidence; and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3 </w:instrText>
      </w:r>
      <w:r>
        <w:rPr>
          <w:rFonts w:ascii="Times New Roman" w:eastAsia="Arial" w:hAnsi="Times New Roman" w:cs="Times New Roman"/>
          <w:sz w:val="26"/>
          <w:szCs w:val="26"/>
        </w:rPr>
        <w:fldChar w:fldCharType="end"/>
      </w:r>
      <w:r w:rsidRPr="00BF0BE3">
        <w:rPr>
          <w:rFonts w:ascii="Times New Roman" w:eastAsia="Arial" w:hAnsi="Times New Roman" w:cs="Times New Roman"/>
          <w:sz w:val="26"/>
          <w:szCs w:val="26"/>
        </w:rPr>
        <w:t xml:space="preserve"> where the source is the parent, child, spouse, or sibling of the recipient. In the latter case, Rule 10b5-2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3 </w:instrText>
      </w:r>
      <w:r>
        <w:rPr>
          <w:rFonts w:ascii="Times New Roman" w:eastAsia="Arial" w:hAnsi="Times New Roman" w:cs="Times New Roman"/>
          <w:sz w:val="26"/>
          <w:szCs w:val="26"/>
        </w:rPr>
        <w:fldChar w:fldCharType="end"/>
      </w:r>
      <w:r w:rsidRPr="00BF0BE3">
        <w:rPr>
          <w:rFonts w:ascii="Times New Roman" w:eastAsia="Arial" w:hAnsi="Times New Roman" w:cs="Times New Roman"/>
          <w:sz w:val="26"/>
          <w:szCs w:val="26"/>
        </w:rPr>
        <w:t xml:space="preserve"> establishes a presumption that a duty of trust or confidence arises, which may be rebutted by showing that, based on the circumstances surrounding the relationship, the source reasonably would not have expected the recipient to keep the information confidential. In a case whose events occurred prior to the adoption of Rule 10b5-2 (to which the new rule was inapplicable), </w:t>
      </w:r>
      <w:r w:rsidRPr="00BF0BE3">
        <w:rPr>
          <w:rFonts w:ascii="Times New Roman" w:eastAsia="Arial" w:hAnsi="Times New Roman" w:cs="Times New Roman"/>
          <w:i/>
          <w:sz w:val="26"/>
          <w:szCs w:val="26"/>
        </w:rPr>
        <w:t>SEC v. Yun</w:t>
      </w:r>
      <w:r w:rsidRPr="00BF0BE3">
        <w:rPr>
          <w:rFonts w:ascii="Times New Roman" w:eastAsia="Arial" w:hAnsi="Times New Roman" w:cs="Times New Roman"/>
          <w:sz w:val="26"/>
          <w:szCs w:val="26"/>
        </w:rPr>
        <w:t>, 327 F.3d 1263, 1273 (</w:t>
      </w:r>
      <w:r>
        <w:rPr>
          <w:rFonts w:ascii="Times New Roman" w:eastAsia="Arial" w:hAnsi="Times New Roman" w:cs="Times New Roman"/>
          <w:sz w:val="26"/>
          <w:szCs w:val="26"/>
        </w:rPr>
        <w:t>11</w:t>
      </w:r>
      <w:r w:rsidRPr="00BF0BE3">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BF0BE3">
        <w:rPr>
          <w:rFonts w:ascii="Times New Roman" w:eastAsia="Arial" w:hAnsi="Times New Roman" w:cs="Times New Roman"/>
          <w:sz w:val="26"/>
          <w:szCs w:val="26"/>
        </w:rPr>
        <w:t xml:space="preserve">Cir. 2003), the Eleventh Circuit held that a duty of trust or confidence arises between spouses only where there was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a history or practice of sharing business confidences.</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The </w:t>
      </w:r>
      <w:r w:rsidRPr="00F101C4">
        <w:rPr>
          <w:rFonts w:ascii="Times New Roman" w:eastAsia="Arial" w:hAnsi="Times New Roman" w:cs="Times New Roman"/>
          <w:i/>
          <w:sz w:val="26"/>
          <w:szCs w:val="26"/>
        </w:rPr>
        <w:t>Yun</w:t>
      </w:r>
      <w:r w:rsidRPr="00BF0BE3">
        <w:rPr>
          <w:rFonts w:ascii="Times New Roman" w:eastAsia="Arial" w:hAnsi="Times New Roman" w:cs="Times New Roman"/>
          <w:sz w:val="26"/>
          <w:szCs w:val="26"/>
        </w:rPr>
        <w:t xml:space="preserve"> court conceded that the Rule 10b5-2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goes farther than we do in finding a relationship of trust and confidence.</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w:t>
      </w:r>
      <w:r w:rsidRPr="00BF0BE3">
        <w:rPr>
          <w:rFonts w:ascii="Times New Roman" w:eastAsia="Arial" w:hAnsi="Times New Roman" w:cs="Times New Roman"/>
          <w:i/>
          <w:sz w:val="26"/>
          <w:szCs w:val="26"/>
        </w:rPr>
        <w:t>Id</w:t>
      </w:r>
      <w:r w:rsidRPr="00BF0BE3">
        <w:rPr>
          <w:rFonts w:ascii="Times New Roman" w:eastAsia="Arial" w:hAnsi="Times New Roman" w:cs="Times New Roman"/>
          <w:sz w:val="26"/>
          <w:szCs w:val="26"/>
        </w:rPr>
        <w:t>. at 1273 n. 23.</w:t>
      </w:r>
    </w:p>
    <w:p w:rsidR="00BA604B" w:rsidRPr="00BF0BE3" w:rsidRDefault="00BA604B" w:rsidP="005E5DC1">
      <w:pPr>
        <w:spacing w:after="240" w:line="240" w:lineRule="auto"/>
        <w:ind w:firstLine="720"/>
        <w:jc w:val="both"/>
        <w:rPr>
          <w:rFonts w:ascii="Times New Roman" w:eastAsia="Arial" w:hAnsi="Times New Roman" w:cs="Times New Roman"/>
          <w:sz w:val="26"/>
          <w:szCs w:val="26"/>
        </w:rPr>
      </w:pPr>
      <w:r w:rsidRPr="00BF0BE3">
        <w:rPr>
          <w:rFonts w:ascii="Times New Roman" w:eastAsia="Arial" w:hAnsi="Times New Roman" w:cs="Times New Roman"/>
          <w:sz w:val="26"/>
          <w:szCs w:val="26"/>
        </w:rPr>
        <w:t xml:space="preserve">Tipper-Tippee Liability: In </w:t>
      </w:r>
      <w:r w:rsidRPr="00BF0BE3">
        <w:rPr>
          <w:rFonts w:ascii="Times New Roman" w:eastAsia="Arial" w:hAnsi="Times New Roman" w:cs="Times New Roman"/>
          <w:i/>
          <w:sz w:val="26"/>
          <w:szCs w:val="26"/>
        </w:rPr>
        <w:t>Dirks v. SEC</w:t>
      </w:r>
      <w:r w:rsidRPr="00BF0BE3">
        <w:rPr>
          <w:rFonts w:ascii="Times New Roman" w:eastAsia="Arial" w:hAnsi="Times New Roman" w:cs="Times New Roman"/>
          <w:sz w:val="26"/>
          <w:szCs w:val="26"/>
        </w:rPr>
        <w:t xml:space="preserve">, 463 U.S. 646, 662 (1983), the Supreme Court held that in order for a tippee to be liable, the tipper (in that case a corporate insider) must have intended to benefit personally from his or her disclosure of the confidential information to the tippee. In </w:t>
      </w:r>
      <w:r w:rsidRPr="00BF0BE3">
        <w:rPr>
          <w:rFonts w:ascii="Times New Roman" w:eastAsia="Arial" w:hAnsi="Times New Roman" w:cs="Times New Roman"/>
          <w:i/>
          <w:sz w:val="26"/>
          <w:szCs w:val="26"/>
        </w:rPr>
        <w:t>SEC v. Yun</w:t>
      </w:r>
      <w:r w:rsidRPr="00BF0BE3">
        <w:rPr>
          <w:rFonts w:ascii="Times New Roman" w:eastAsia="Arial" w:hAnsi="Times New Roman" w:cs="Times New Roman"/>
          <w:sz w:val="26"/>
          <w:szCs w:val="26"/>
        </w:rPr>
        <w:t>, 327 F.3d 1263 (</w:t>
      </w:r>
      <w:r>
        <w:rPr>
          <w:rFonts w:ascii="Times New Roman" w:eastAsia="Arial" w:hAnsi="Times New Roman" w:cs="Times New Roman"/>
          <w:sz w:val="26"/>
          <w:szCs w:val="26"/>
        </w:rPr>
        <w:t>11</w:t>
      </w:r>
      <w:r w:rsidRPr="00BF0BE3">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BF0BE3">
        <w:rPr>
          <w:rFonts w:ascii="Times New Roman" w:eastAsia="Arial" w:hAnsi="Times New Roman" w:cs="Times New Roman"/>
          <w:sz w:val="26"/>
          <w:szCs w:val="26"/>
        </w:rPr>
        <w:t>Cir. 2003), the Eleventh Circuit held that a tipper who is an outsider-misappropriator must also intend to benefit from the tip in order for the tippee to be liable. Thus, in a case seeking to hold a tippee liable, regardless of whether the source of the information is an insider or an outsider-misappropriator, the plaintiff must prove that the tipper intended to personally benefit from the disclosure.</w:t>
      </w:r>
    </w:p>
    <w:p w:rsidR="00BA604B" w:rsidRPr="00BF0BE3" w:rsidRDefault="00BA604B" w:rsidP="005E5DC1">
      <w:pPr>
        <w:spacing w:after="240" w:line="240" w:lineRule="auto"/>
        <w:ind w:firstLine="720"/>
        <w:jc w:val="both"/>
        <w:rPr>
          <w:rFonts w:ascii="Times New Roman" w:eastAsia="Arial" w:hAnsi="Times New Roman" w:cs="Times New Roman"/>
          <w:sz w:val="26"/>
          <w:szCs w:val="26"/>
        </w:rPr>
      </w:pPr>
      <w:r w:rsidRPr="00BF0BE3">
        <w:rPr>
          <w:rFonts w:ascii="Times New Roman" w:eastAsia="Arial" w:hAnsi="Times New Roman" w:cs="Times New Roman"/>
          <w:sz w:val="26"/>
          <w:szCs w:val="26"/>
        </w:rPr>
        <w:t>Scienter: In order to establish liability under Section 10</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sidRPr="00BF0BE3">
        <w:rPr>
          <w:rFonts w:ascii="Times New Roman" w:eastAsia="Arial" w:hAnsi="Times New Roman" w:cs="Times New Roman"/>
          <w:sz w:val="26"/>
          <w:szCs w:val="26"/>
        </w:rPr>
        <w:t xml:space="preserve"> and Rule 10b-5, the inside trader must have acted with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scienter,</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which is defined as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a mental state embracing intent to deceive, manipulate, or defraud.</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w:t>
      </w:r>
      <w:r w:rsidRPr="00F60AA1">
        <w:rPr>
          <w:rFonts w:ascii="Times New Roman" w:eastAsia="Arial" w:hAnsi="Times New Roman" w:cs="Times New Roman"/>
          <w:i/>
          <w:sz w:val="26"/>
          <w:szCs w:val="26"/>
        </w:rPr>
        <w:t>Aaron v. SEC</w:t>
      </w:r>
      <w:r w:rsidRPr="00BF0BE3">
        <w:rPr>
          <w:rFonts w:ascii="Times New Roman" w:eastAsia="Arial" w:hAnsi="Times New Roman" w:cs="Times New Roman"/>
          <w:sz w:val="26"/>
          <w:szCs w:val="26"/>
        </w:rPr>
        <w:t xml:space="preserve">, 446 U.S 680, 686 n.5 (1980). In the Eleventh Circuit,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scienter</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may also consist of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severe recklessness</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by the defendant, </w:t>
      </w:r>
      <w:r w:rsidRPr="00F60AA1">
        <w:rPr>
          <w:rFonts w:ascii="Times New Roman" w:eastAsia="Arial" w:hAnsi="Times New Roman" w:cs="Times New Roman"/>
          <w:i/>
          <w:sz w:val="26"/>
          <w:szCs w:val="26"/>
        </w:rPr>
        <w:t>see, e.g., Edward J. Goodman Life Income Trust v. Jabil Circuit, Inc.</w:t>
      </w:r>
      <w:r w:rsidRPr="00BF0BE3">
        <w:rPr>
          <w:rFonts w:ascii="Times New Roman" w:eastAsia="Arial" w:hAnsi="Times New Roman" w:cs="Times New Roman"/>
          <w:sz w:val="26"/>
          <w:szCs w:val="26"/>
        </w:rPr>
        <w:t>, 594 F.3d 783, 790 (</w:t>
      </w:r>
      <w:r>
        <w:rPr>
          <w:rFonts w:ascii="Times New Roman" w:eastAsia="Arial" w:hAnsi="Times New Roman" w:cs="Times New Roman"/>
          <w:sz w:val="26"/>
          <w:szCs w:val="26"/>
        </w:rPr>
        <w:t>11</w:t>
      </w:r>
      <w:r w:rsidRPr="00F60AA1">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BF0BE3">
        <w:rPr>
          <w:rFonts w:ascii="Times New Roman" w:eastAsia="Arial" w:hAnsi="Times New Roman" w:cs="Times New Roman"/>
          <w:sz w:val="26"/>
          <w:szCs w:val="26"/>
        </w:rPr>
        <w:t xml:space="preserve">Cir. 2010); however, the Supreme Court has left open the question whether recklessness may satisfy the scienter requirement. </w:t>
      </w:r>
      <w:r w:rsidRPr="00F60AA1">
        <w:rPr>
          <w:rFonts w:ascii="Times New Roman" w:eastAsia="Arial" w:hAnsi="Times New Roman" w:cs="Times New Roman"/>
          <w:i/>
          <w:sz w:val="26"/>
          <w:szCs w:val="26"/>
        </w:rPr>
        <w:t>See Matrixx Initiatives, Inc. v. Siracusano</w:t>
      </w:r>
      <w:r w:rsidRPr="00BF0BE3">
        <w:rPr>
          <w:rFonts w:ascii="Times New Roman" w:eastAsia="Arial" w:hAnsi="Times New Roman" w:cs="Times New Roman"/>
          <w:sz w:val="26"/>
          <w:szCs w:val="26"/>
        </w:rPr>
        <w:t>, 131 S. Ct. 1309, 1323 (2011)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We have not decided whether recklessness suffices to fulfill the scienter requirement.</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w:t>
      </w:r>
      <w:r w:rsidRPr="00F60AA1">
        <w:rPr>
          <w:rFonts w:ascii="Times New Roman" w:eastAsia="Arial" w:hAnsi="Times New Roman" w:cs="Times New Roman"/>
          <w:i/>
          <w:sz w:val="26"/>
          <w:szCs w:val="26"/>
        </w:rPr>
        <w:t>Tellabs, Inc. v. Makor Issues &amp; Rights, Ltd.</w:t>
      </w:r>
      <w:r w:rsidRPr="00BF0BE3">
        <w:rPr>
          <w:rFonts w:ascii="Times New Roman" w:eastAsia="Arial" w:hAnsi="Times New Roman" w:cs="Times New Roman"/>
          <w:sz w:val="26"/>
          <w:szCs w:val="26"/>
        </w:rPr>
        <w:t xml:space="preserve">, 551 U.S. 308, 319 n.3 (2007) (declining to decide issue because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whether and when recklessness satisfies the scienter requirement is not presented in this case</w:t>
      </w:r>
      <w:r>
        <w:rPr>
          <w:rFonts w:ascii="Times New Roman" w:eastAsia="Arial" w:hAnsi="Times New Roman" w:cs="Times New Roman"/>
          <w:sz w:val="26"/>
          <w:szCs w:val="26"/>
        </w:rPr>
        <w:t>”</w:t>
      </w:r>
      <w:r w:rsidRPr="00BF0BE3">
        <w:rPr>
          <w:rFonts w:ascii="Times New Roman" w:eastAsia="Arial" w:hAnsi="Times New Roman" w:cs="Times New Roman"/>
          <w:sz w:val="26"/>
          <w:szCs w:val="26"/>
        </w:rPr>
        <w:t>)</w:t>
      </w:r>
    </w:p>
    <w:p w:rsidR="00BA604B" w:rsidRPr="00BF0BE3" w:rsidRDefault="00BA604B" w:rsidP="005E5DC1">
      <w:pPr>
        <w:spacing w:after="240" w:line="240" w:lineRule="auto"/>
        <w:ind w:firstLine="720"/>
        <w:jc w:val="both"/>
        <w:rPr>
          <w:rFonts w:ascii="Times New Roman" w:eastAsia="Arial" w:hAnsi="Times New Roman" w:cs="Times New Roman"/>
          <w:sz w:val="26"/>
          <w:szCs w:val="26"/>
        </w:rPr>
      </w:pPr>
      <w:r w:rsidRPr="00BF0BE3">
        <w:rPr>
          <w:rFonts w:ascii="Times New Roman" w:eastAsia="Arial" w:hAnsi="Times New Roman" w:cs="Times New Roman"/>
          <w:sz w:val="26"/>
          <w:szCs w:val="26"/>
        </w:rPr>
        <w:t xml:space="preserve">Materiality: Information is considered material if there is a substantial likelihood that a reasonable investor would consider it important in making a decision to buy or sell a security. </w:t>
      </w:r>
      <w:r w:rsidRPr="00F60AA1">
        <w:rPr>
          <w:rFonts w:ascii="Times New Roman" w:eastAsia="Arial" w:hAnsi="Times New Roman" w:cs="Times New Roman"/>
          <w:i/>
          <w:sz w:val="26"/>
          <w:szCs w:val="26"/>
        </w:rPr>
        <w:t>See Basic, Inc. v. Levinson</w:t>
      </w:r>
      <w:r w:rsidRPr="00BF0BE3">
        <w:rPr>
          <w:rFonts w:ascii="Times New Roman" w:eastAsia="Arial" w:hAnsi="Times New Roman" w:cs="Times New Roman"/>
          <w:sz w:val="26"/>
          <w:szCs w:val="26"/>
        </w:rPr>
        <w:t xml:space="preserve">, 485 U.S. 224, 231-32 (1988). Information relating to a potential merger may be material even before the final merger agreement has been reached. The materiality of information relating to a merger depends on the probability </w:t>
      </w:r>
      <w:r w:rsidRPr="00BF0BE3">
        <w:rPr>
          <w:rFonts w:ascii="Times New Roman" w:eastAsia="Arial" w:hAnsi="Times New Roman" w:cs="Times New Roman"/>
          <w:sz w:val="26"/>
          <w:szCs w:val="26"/>
        </w:rPr>
        <w:lastRenderedPageBreak/>
        <w:t xml:space="preserve">that the transaction will be consummated and its significance to the issuer of the securities. </w:t>
      </w:r>
      <w:r w:rsidRPr="00F60AA1">
        <w:rPr>
          <w:rFonts w:ascii="Times New Roman" w:eastAsia="Arial" w:hAnsi="Times New Roman" w:cs="Times New Roman"/>
          <w:i/>
          <w:sz w:val="26"/>
          <w:szCs w:val="26"/>
        </w:rPr>
        <w:t>Basic, Inc.</w:t>
      </w:r>
      <w:r w:rsidRPr="00BF0BE3">
        <w:rPr>
          <w:rFonts w:ascii="Times New Roman" w:eastAsia="Arial" w:hAnsi="Times New Roman" w:cs="Times New Roman"/>
          <w:sz w:val="26"/>
          <w:szCs w:val="26"/>
        </w:rPr>
        <w:t xml:space="preserve">, 485 U.S. at 250. </w:t>
      </w:r>
      <w:r w:rsidRPr="00F60AA1">
        <w:rPr>
          <w:rFonts w:ascii="Times New Roman" w:eastAsia="Arial" w:hAnsi="Times New Roman" w:cs="Times New Roman"/>
          <w:i/>
          <w:sz w:val="26"/>
          <w:szCs w:val="26"/>
        </w:rPr>
        <w:t>See also, SEC v. Mayhew</w:t>
      </w:r>
      <w:r w:rsidRPr="00BF0BE3">
        <w:rPr>
          <w:rFonts w:ascii="Times New Roman" w:eastAsia="Arial" w:hAnsi="Times New Roman" w:cs="Times New Roman"/>
          <w:sz w:val="26"/>
          <w:szCs w:val="26"/>
        </w:rPr>
        <w:t>, 121 F.3d 44, 51 (</w:t>
      </w:r>
      <w:r>
        <w:rPr>
          <w:rFonts w:ascii="Times New Roman" w:eastAsia="Arial" w:hAnsi="Times New Roman" w:cs="Times New Roman"/>
          <w:sz w:val="26"/>
          <w:szCs w:val="26"/>
        </w:rPr>
        <w:t>2</w:t>
      </w:r>
      <w:r w:rsidRPr="00F60AA1">
        <w:rPr>
          <w:rFonts w:ascii="Times New Roman" w:eastAsia="Arial" w:hAnsi="Times New Roman" w:cs="Times New Roman"/>
          <w:sz w:val="26"/>
          <w:szCs w:val="26"/>
          <w:vertAlign w:val="superscript"/>
        </w:rPr>
        <w:t>nd</w:t>
      </w:r>
      <w:r>
        <w:rPr>
          <w:rFonts w:ascii="Times New Roman" w:eastAsia="Arial" w:hAnsi="Times New Roman" w:cs="Times New Roman"/>
          <w:sz w:val="26"/>
          <w:szCs w:val="26"/>
        </w:rPr>
        <w:t xml:space="preserve"> </w:t>
      </w:r>
      <w:r w:rsidRPr="00BF0BE3">
        <w:rPr>
          <w:rFonts w:ascii="Times New Roman" w:eastAsia="Arial" w:hAnsi="Times New Roman" w:cs="Times New Roman"/>
          <w:sz w:val="26"/>
          <w:szCs w:val="26"/>
        </w:rPr>
        <w:t xml:space="preserve">Cir. 1997); </w:t>
      </w:r>
      <w:r w:rsidRPr="00F60AA1">
        <w:rPr>
          <w:rFonts w:ascii="Times New Roman" w:eastAsia="Arial" w:hAnsi="Times New Roman" w:cs="Times New Roman"/>
          <w:i/>
          <w:sz w:val="26"/>
          <w:szCs w:val="26"/>
        </w:rPr>
        <w:t>SEC v. Geon Indus., Inc.</w:t>
      </w:r>
      <w:r w:rsidRPr="00BF0BE3">
        <w:rPr>
          <w:rFonts w:ascii="Times New Roman" w:eastAsia="Arial" w:hAnsi="Times New Roman" w:cs="Times New Roman"/>
          <w:sz w:val="26"/>
          <w:szCs w:val="26"/>
        </w:rPr>
        <w:t>, 531 F.2d 39, 47-48 (</w:t>
      </w:r>
      <w:r>
        <w:rPr>
          <w:rFonts w:ascii="Times New Roman" w:eastAsia="Arial" w:hAnsi="Times New Roman" w:cs="Times New Roman"/>
          <w:sz w:val="26"/>
          <w:szCs w:val="26"/>
        </w:rPr>
        <w:t>2</w:t>
      </w:r>
      <w:r w:rsidRPr="00F60AA1">
        <w:rPr>
          <w:rFonts w:ascii="Times New Roman" w:eastAsia="Arial" w:hAnsi="Times New Roman" w:cs="Times New Roman"/>
          <w:sz w:val="26"/>
          <w:szCs w:val="26"/>
          <w:vertAlign w:val="superscript"/>
        </w:rPr>
        <w:t>nd</w:t>
      </w:r>
      <w:r>
        <w:rPr>
          <w:rFonts w:ascii="Times New Roman" w:eastAsia="Arial" w:hAnsi="Times New Roman" w:cs="Times New Roman"/>
          <w:sz w:val="26"/>
          <w:szCs w:val="26"/>
        </w:rPr>
        <w:t xml:space="preserve"> </w:t>
      </w:r>
      <w:r w:rsidRPr="00BF0BE3">
        <w:rPr>
          <w:rFonts w:ascii="Times New Roman" w:eastAsia="Arial" w:hAnsi="Times New Roman" w:cs="Times New Roman"/>
          <w:sz w:val="26"/>
          <w:szCs w:val="26"/>
        </w:rPr>
        <w:t>Cir. 1976). In insider trading cases, materiality of the non-public information is frequently established by a substantial change in the company</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s stock upon the public disclosure of the information. </w:t>
      </w:r>
      <w:r w:rsidRPr="00F60AA1">
        <w:rPr>
          <w:rFonts w:ascii="Times New Roman" w:eastAsia="Arial" w:hAnsi="Times New Roman" w:cs="Times New Roman"/>
          <w:i/>
          <w:sz w:val="26"/>
          <w:szCs w:val="26"/>
        </w:rPr>
        <w:t>Elkind v. Liggett &amp; Myers, Inc.</w:t>
      </w:r>
      <w:r w:rsidRPr="00BF0BE3">
        <w:rPr>
          <w:rFonts w:ascii="Times New Roman" w:eastAsia="Arial" w:hAnsi="Times New Roman" w:cs="Times New Roman"/>
          <w:sz w:val="26"/>
          <w:szCs w:val="26"/>
        </w:rPr>
        <w:t>, 635 F.2d 156, 166 (</w:t>
      </w:r>
      <w:r>
        <w:rPr>
          <w:rFonts w:ascii="Times New Roman" w:eastAsia="Arial" w:hAnsi="Times New Roman" w:cs="Times New Roman"/>
          <w:sz w:val="26"/>
          <w:szCs w:val="26"/>
        </w:rPr>
        <w:t>2</w:t>
      </w:r>
      <w:r w:rsidRPr="00F60AA1">
        <w:rPr>
          <w:rFonts w:ascii="Times New Roman" w:eastAsia="Arial" w:hAnsi="Times New Roman" w:cs="Times New Roman"/>
          <w:sz w:val="26"/>
          <w:szCs w:val="26"/>
          <w:vertAlign w:val="superscript"/>
        </w:rPr>
        <w:t>nd</w:t>
      </w:r>
      <w:r>
        <w:rPr>
          <w:rFonts w:ascii="Times New Roman" w:eastAsia="Arial" w:hAnsi="Times New Roman" w:cs="Times New Roman"/>
          <w:sz w:val="26"/>
          <w:szCs w:val="26"/>
        </w:rPr>
        <w:t xml:space="preserve"> </w:t>
      </w:r>
      <w:r w:rsidRPr="00BF0BE3">
        <w:rPr>
          <w:rFonts w:ascii="Times New Roman" w:eastAsia="Arial" w:hAnsi="Times New Roman" w:cs="Times New Roman"/>
          <w:sz w:val="26"/>
          <w:szCs w:val="26"/>
        </w:rPr>
        <w:t xml:space="preserve">Cir. 1980) (reaction of investors to the information is an indication of materiality). </w:t>
      </w:r>
    </w:p>
    <w:p w:rsidR="00BA604B" w:rsidRPr="00BF0BE3" w:rsidRDefault="00BA604B" w:rsidP="005E5DC1">
      <w:pPr>
        <w:spacing w:after="240" w:line="240" w:lineRule="auto"/>
        <w:ind w:firstLine="720"/>
        <w:jc w:val="both"/>
        <w:rPr>
          <w:rFonts w:ascii="Times New Roman" w:eastAsia="Arial" w:hAnsi="Times New Roman" w:cs="Times New Roman"/>
          <w:sz w:val="26"/>
          <w:szCs w:val="26"/>
        </w:rPr>
      </w:pPr>
      <w:r w:rsidRPr="00BF0BE3">
        <w:rPr>
          <w:rFonts w:ascii="Times New Roman" w:eastAsia="Arial" w:hAnsi="Times New Roman" w:cs="Times New Roman"/>
          <w:sz w:val="26"/>
          <w:szCs w:val="26"/>
        </w:rPr>
        <w:t xml:space="preserve">Non-Public: Information becomes public when disclosed to achieve a broad dissemination to the investing public generally and without favoring any special person or group, </w:t>
      </w:r>
      <w:r w:rsidRPr="00F60AA1">
        <w:rPr>
          <w:rFonts w:ascii="Times New Roman" w:eastAsia="Arial" w:hAnsi="Times New Roman" w:cs="Times New Roman"/>
          <w:i/>
          <w:sz w:val="26"/>
          <w:szCs w:val="26"/>
        </w:rPr>
        <w:t>Dirks</w:t>
      </w:r>
      <w:r w:rsidRPr="00BF0BE3">
        <w:rPr>
          <w:rFonts w:ascii="Times New Roman" w:eastAsia="Arial" w:hAnsi="Times New Roman" w:cs="Times New Roman"/>
          <w:sz w:val="26"/>
          <w:szCs w:val="26"/>
        </w:rPr>
        <w:t xml:space="preserve">, 463 U.S. at 653 n. 12 , or when, although known only to a few persons, trading on it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has caused the information to be fully impounded into the price of the particular stock</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w:t>
      </w:r>
      <w:r w:rsidRPr="00F60AA1">
        <w:rPr>
          <w:rFonts w:ascii="Times New Roman" w:eastAsia="Arial" w:hAnsi="Times New Roman" w:cs="Times New Roman"/>
          <w:i/>
          <w:sz w:val="26"/>
          <w:szCs w:val="26"/>
        </w:rPr>
        <w:t>United States v. Libera</w:t>
      </w:r>
      <w:r w:rsidRPr="00BF0BE3">
        <w:rPr>
          <w:rFonts w:ascii="Times New Roman" w:eastAsia="Arial" w:hAnsi="Times New Roman" w:cs="Times New Roman"/>
          <w:sz w:val="26"/>
          <w:szCs w:val="26"/>
        </w:rPr>
        <w:t>, 989 F.2d 596, 601 (</w:t>
      </w:r>
      <w:r>
        <w:rPr>
          <w:rFonts w:ascii="Times New Roman" w:eastAsia="Arial" w:hAnsi="Times New Roman" w:cs="Times New Roman"/>
          <w:sz w:val="26"/>
          <w:szCs w:val="26"/>
        </w:rPr>
        <w:t>2</w:t>
      </w:r>
      <w:r w:rsidRPr="00F60AA1">
        <w:rPr>
          <w:rFonts w:ascii="Times New Roman" w:eastAsia="Arial" w:hAnsi="Times New Roman" w:cs="Times New Roman"/>
          <w:sz w:val="26"/>
          <w:szCs w:val="26"/>
          <w:vertAlign w:val="superscript"/>
        </w:rPr>
        <w:t>nd</w:t>
      </w:r>
      <w:r>
        <w:rPr>
          <w:rFonts w:ascii="Times New Roman" w:eastAsia="Arial" w:hAnsi="Times New Roman" w:cs="Times New Roman"/>
          <w:sz w:val="26"/>
          <w:szCs w:val="26"/>
        </w:rPr>
        <w:t xml:space="preserve"> </w:t>
      </w:r>
      <w:r w:rsidRPr="00BF0BE3">
        <w:rPr>
          <w:rFonts w:ascii="Times New Roman" w:eastAsia="Arial" w:hAnsi="Times New Roman" w:cs="Times New Roman"/>
          <w:sz w:val="26"/>
          <w:szCs w:val="26"/>
        </w:rPr>
        <w:t xml:space="preserve">Cir.1993); </w:t>
      </w:r>
      <w:r w:rsidRPr="006E4CC5">
        <w:rPr>
          <w:rFonts w:ascii="Times New Roman" w:eastAsia="Arial" w:hAnsi="Times New Roman" w:cs="Times New Roman"/>
          <w:i/>
          <w:sz w:val="26"/>
          <w:szCs w:val="26"/>
        </w:rPr>
        <w:t>Mayhew</w:t>
      </w:r>
      <w:r w:rsidRPr="00BF0BE3">
        <w:rPr>
          <w:rFonts w:ascii="Times New Roman" w:eastAsia="Arial" w:hAnsi="Times New Roman" w:cs="Times New Roman"/>
          <w:sz w:val="26"/>
          <w:szCs w:val="26"/>
        </w:rPr>
        <w:t>, 121 F.3d at 50.</w:t>
      </w:r>
    </w:p>
    <w:p w:rsidR="00BA604B" w:rsidRPr="00BF0BE3" w:rsidRDefault="00BA604B" w:rsidP="005E5DC1">
      <w:pPr>
        <w:spacing w:after="240" w:line="240" w:lineRule="auto"/>
        <w:ind w:firstLine="720"/>
        <w:jc w:val="both"/>
        <w:rPr>
          <w:rFonts w:ascii="Times New Roman" w:eastAsia="Arial" w:hAnsi="Times New Roman" w:cs="Times New Roman"/>
          <w:sz w:val="26"/>
          <w:szCs w:val="26"/>
        </w:rPr>
      </w:pPr>
      <w:r w:rsidRPr="00BF0BE3">
        <w:rPr>
          <w:rFonts w:ascii="Times New Roman" w:eastAsia="Arial" w:hAnsi="Times New Roman" w:cs="Times New Roman"/>
          <w:sz w:val="26"/>
          <w:szCs w:val="26"/>
        </w:rPr>
        <w:t xml:space="preserve">Definition of a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Security</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For additional examples of what is a security, </w:t>
      </w:r>
      <w:r w:rsidRPr="00F101C4">
        <w:rPr>
          <w:rFonts w:ascii="Times New Roman" w:eastAsia="Arial" w:hAnsi="Times New Roman" w:cs="Times New Roman"/>
          <w:sz w:val="26"/>
          <w:szCs w:val="26"/>
          <w:u w:val="single"/>
        </w:rPr>
        <w:t>see</w:t>
      </w:r>
      <w:r w:rsidRPr="00BF0BE3">
        <w:rPr>
          <w:rFonts w:ascii="Times New Roman" w:eastAsia="Arial" w:hAnsi="Times New Roman" w:cs="Times New Roman"/>
          <w:sz w:val="26"/>
          <w:szCs w:val="26"/>
        </w:rPr>
        <w:t xml:space="preserve"> Exchange Act Section 3</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10 </w:instrText>
      </w:r>
      <w:r>
        <w:rPr>
          <w:rFonts w:ascii="Times New Roman" w:eastAsia="Arial" w:hAnsi="Times New Roman" w:cs="Times New Roman"/>
          <w:sz w:val="26"/>
          <w:szCs w:val="26"/>
        </w:rPr>
        <w:fldChar w:fldCharType="end"/>
      </w:r>
      <w:r w:rsidRPr="00BF0BE3">
        <w:rPr>
          <w:rFonts w:ascii="Times New Roman" w:eastAsia="Arial" w:hAnsi="Times New Roman" w:cs="Times New Roman"/>
          <w:sz w:val="26"/>
          <w:szCs w:val="26"/>
        </w:rPr>
        <w:t xml:space="preserve">, 15 U.S.C.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78c</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10 </w:instrText>
      </w:r>
      <w:r>
        <w:rPr>
          <w:rFonts w:ascii="Times New Roman" w:eastAsia="Arial" w:hAnsi="Times New Roman" w:cs="Times New Roman"/>
          <w:sz w:val="26"/>
          <w:szCs w:val="26"/>
        </w:rPr>
        <w:fldChar w:fldCharType="end"/>
      </w:r>
      <w:r w:rsidRPr="00BF0BE3">
        <w:rPr>
          <w:rFonts w:ascii="Times New Roman" w:eastAsia="Arial" w:hAnsi="Times New Roman" w:cs="Times New Roman"/>
          <w:sz w:val="26"/>
          <w:szCs w:val="26"/>
        </w:rPr>
        <w:t xml:space="preserve">. The issue of whether a particular investment is a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security</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is frequently a question of law for the court. </w:t>
      </w:r>
      <w:r w:rsidRPr="00CE1202">
        <w:rPr>
          <w:rFonts w:ascii="Times New Roman" w:eastAsia="Arial" w:hAnsi="Times New Roman" w:cs="Times New Roman"/>
          <w:i/>
          <w:sz w:val="26"/>
          <w:szCs w:val="26"/>
        </w:rPr>
        <w:t>Robinson v. Glynn</w:t>
      </w:r>
      <w:r w:rsidRPr="00BF0BE3">
        <w:rPr>
          <w:rFonts w:ascii="Times New Roman" w:eastAsia="Arial" w:hAnsi="Times New Roman" w:cs="Times New Roman"/>
          <w:sz w:val="26"/>
          <w:szCs w:val="26"/>
        </w:rPr>
        <w:t>, 349 F.3d 166, 170 (</w:t>
      </w:r>
      <w:r>
        <w:rPr>
          <w:rFonts w:ascii="Times New Roman" w:eastAsia="Arial" w:hAnsi="Times New Roman" w:cs="Times New Roman"/>
          <w:sz w:val="26"/>
          <w:szCs w:val="26"/>
        </w:rPr>
        <w:t>4</w:t>
      </w:r>
      <w:r w:rsidRPr="00F60AA1">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BF0BE3">
        <w:rPr>
          <w:rFonts w:ascii="Times New Roman" w:eastAsia="Arial" w:hAnsi="Times New Roman" w:cs="Times New Roman"/>
          <w:sz w:val="26"/>
          <w:szCs w:val="26"/>
        </w:rPr>
        <w:t xml:space="preserve">Cir. 2003); </w:t>
      </w:r>
      <w:r w:rsidRPr="00F60AA1">
        <w:rPr>
          <w:rFonts w:ascii="Times New Roman" w:eastAsia="Arial" w:hAnsi="Times New Roman" w:cs="Times New Roman"/>
          <w:i/>
          <w:sz w:val="26"/>
          <w:szCs w:val="26"/>
        </w:rPr>
        <w:t>Ahrens v. American-Canadian Beaver Co.</w:t>
      </w:r>
      <w:r w:rsidRPr="00BF0BE3">
        <w:rPr>
          <w:rFonts w:ascii="Times New Roman" w:eastAsia="Arial" w:hAnsi="Times New Roman" w:cs="Times New Roman"/>
          <w:sz w:val="26"/>
          <w:szCs w:val="26"/>
        </w:rPr>
        <w:t>, 428 F.2d 926, 928 (</w:t>
      </w:r>
      <w:r>
        <w:rPr>
          <w:rFonts w:ascii="Times New Roman" w:eastAsia="Arial" w:hAnsi="Times New Roman" w:cs="Times New Roman"/>
          <w:sz w:val="26"/>
          <w:szCs w:val="26"/>
        </w:rPr>
        <w:t>10</w:t>
      </w:r>
      <w:r w:rsidRPr="00F60AA1">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BF0BE3">
        <w:rPr>
          <w:rFonts w:ascii="Times New Roman" w:eastAsia="Arial" w:hAnsi="Times New Roman" w:cs="Times New Roman"/>
          <w:sz w:val="26"/>
          <w:szCs w:val="26"/>
        </w:rPr>
        <w:t>Cir. 1970). In those cases where the court determines that the investment at issue is a security, it should so instruct the jury.</w:t>
      </w:r>
    </w:p>
    <w:p w:rsidR="00725167" w:rsidRPr="00BA604B" w:rsidRDefault="00BA604B" w:rsidP="005E5DC1">
      <w:pPr>
        <w:spacing w:after="240" w:line="240" w:lineRule="auto"/>
        <w:ind w:firstLine="720"/>
        <w:jc w:val="both"/>
        <w:rPr>
          <w:rFonts w:ascii="Times New Roman" w:eastAsia="Arial" w:hAnsi="Times New Roman" w:cs="Times New Roman"/>
          <w:sz w:val="26"/>
          <w:szCs w:val="26"/>
        </w:rPr>
      </w:pPr>
      <w:r w:rsidRPr="00BF0BE3">
        <w:rPr>
          <w:rFonts w:ascii="Times New Roman" w:eastAsia="Arial" w:hAnsi="Times New Roman" w:cs="Times New Roman"/>
          <w:sz w:val="26"/>
          <w:szCs w:val="26"/>
        </w:rPr>
        <w:t xml:space="preserve">Definition of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Contemporaneous Trading</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w:t>
      </w:r>
      <w:r w:rsidRPr="00F60AA1">
        <w:rPr>
          <w:rFonts w:ascii="Times New Roman" w:eastAsia="Arial" w:hAnsi="Times New Roman" w:cs="Times New Roman"/>
          <w:i/>
          <w:sz w:val="26"/>
          <w:szCs w:val="26"/>
        </w:rPr>
        <w:t>See Johnson v. Aljian</w:t>
      </w:r>
      <w:r w:rsidRPr="00BF0BE3">
        <w:rPr>
          <w:rFonts w:ascii="Times New Roman" w:eastAsia="Arial" w:hAnsi="Times New Roman" w:cs="Times New Roman"/>
          <w:sz w:val="26"/>
          <w:szCs w:val="26"/>
        </w:rPr>
        <w:t xml:space="preserve">, 257 F.R.D. 587 (C.D. Cal. 2009).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There is no law binding on this Court as to what constitutes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contemporaneous</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trading.</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For decisions addressing the issue </w:t>
      </w:r>
      <w:r w:rsidRPr="00F60AA1">
        <w:rPr>
          <w:rFonts w:ascii="Times New Roman" w:eastAsia="Arial" w:hAnsi="Times New Roman" w:cs="Times New Roman"/>
          <w:i/>
          <w:sz w:val="26"/>
          <w:szCs w:val="26"/>
        </w:rPr>
        <w:t>see In re Countrywide Fin. Corp. Sec. Litig.</w:t>
      </w:r>
      <w:r w:rsidRPr="00BF0BE3">
        <w:rPr>
          <w:rFonts w:ascii="Times New Roman" w:eastAsia="Arial" w:hAnsi="Times New Roman" w:cs="Times New Roman"/>
          <w:sz w:val="26"/>
          <w:szCs w:val="26"/>
        </w:rPr>
        <w:t>, 588 F.</w:t>
      </w:r>
      <w:r>
        <w:rPr>
          <w:rFonts w:ascii="Times New Roman" w:eastAsia="Arial" w:hAnsi="Times New Roman" w:cs="Times New Roman"/>
          <w:sz w:val="26"/>
          <w:szCs w:val="26"/>
        </w:rPr>
        <w:t xml:space="preserve"> </w:t>
      </w:r>
      <w:r w:rsidRPr="00BF0BE3">
        <w:rPr>
          <w:rFonts w:ascii="Times New Roman" w:eastAsia="Arial" w:hAnsi="Times New Roman" w:cs="Times New Roman"/>
          <w:sz w:val="26"/>
          <w:szCs w:val="26"/>
        </w:rPr>
        <w:t>Supp.</w:t>
      </w:r>
      <w:r>
        <w:rPr>
          <w:rFonts w:ascii="Times New Roman" w:eastAsia="Arial" w:hAnsi="Times New Roman" w:cs="Times New Roman"/>
          <w:sz w:val="26"/>
          <w:szCs w:val="26"/>
        </w:rPr>
        <w:t xml:space="preserve"> </w:t>
      </w:r>
      <w:r w:rsidRPr="00BF0BE3">
        <w:rPr>
          <w:rFonts w:ascii="Times New Roman" w:eastAsia="Arial" w:hAnsi="Times New Roman" w:cs="Times New Roman"/>
          <w:sz w:val="26"/>
          <w:szCs w:val="26"/>
        </w:rPr>
        <w:t>2d 1132, 1204 (C.D.</w:t>
      </w:r>
      <w:r>
        <w:rPr>
          <w:rFonts w:ascii="Times New Roman" w:eastAsia="Arial" w:hAnsi="Times New Roman" w:cs="Times New Roman"/>
          <w:sz w:val="26"/>
          <w:szCs w:val="26"/>
        </w:rPr>
        <w:t xml:space="preserve"> </w:t>
      </w:r>
      <w:r w:rsidRPr="00BF0BE3">
        <w:rPr>
          <w:rFonts w:ascii="Times New Roman" w:eastAsia="Arial" w:hAnsi="Times New Roman" w:cs="Times New Roman"/>
          <w:sz w:val="26"/>
          <w:szCs w:val="26"/>
        </w:rPr>
        <w:t xml:space="preserve">Cal. Dec. 1, 2008); </w:t>
      </w:r>
      <w:r w:rsidRPr="00F101C4">
        <w:rPr>
          <w:rFonts w:ascii="Times New Roman" w:eastAsia="Arial" w:hAnsi="Times New Roman" w:cs="Times New Roman"/>
          <w:i/>
          <w:sz w:val="26"/>
          <w:szCs w:val="26"/>
        </w:rPr>
        <w:t>see also</w:t>
      </w:r>
      <w:r w:rsidRPr="00BF0BE3">
        <w:rPr>
          <w:rFonts w:ascii="Times New Roman" w:eastAsia="Arial" w:hAnsi="Times New Roman" w:cs="Times New Roman"/>
          <w:sz w:val="26"/>
          <w:szCs w:val="26"/>
        </w:rPr>
        <w:t xml:space="preserve"> </w:t>
      </w:r>
      <w:r w:rsidRPr="00F60AA1">
        <w:rPr>
          <w:rFonts w:ascii="Times New Roman" w:eastAsia="Arial" w:hAnsi="Times New Roman" w:cs="Times New Roman"/>
          <w:i/>
          <w:sz w:val="26"/>
          <w:szCs w:val="26"/>
        </w:rPr>
        <w:t>Neubronner v. Milken</w:t>
      </w:r>
      <w:r w:rsidRPr="00BF0BE3">
        <w:rPr>
          <w:rFonts w:ascii="Times New Roman" w:eastAsia="Arial" w:hAnsi="Times New Roman" w:cs="Times New Roman"/>
          <w:sz w:val="26"/>
          <w:szCs w:val="26"/>
        </w:rPr>
        <w:t>, 6 F.3d 666, 670 (</w:t>
      </w:r>
      <w:r>
        <w:rPr>
          <w:rFonts w:ascii="Times New Roman" w:eastAsia="Arial" w:hAnsi="Times New Roman" w:cs="Times New Roman"/>
          <w:sz w:val="26"/>
          <w:szCs w:val="26"/>
        </w:rPr>
        <w:t>9</w:t>
      </w:r>
      <w:r w:rsidRPr="00F60AA1">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BF0BE3">
        <w:rPr>
          <w:rFonts w:ascii="Times New Roman" w:eastAsia="Arial" w:hAnsi="Times New Roman" w:cs="Times New Roman"/>
          <w:sz w:val="26"/>
          <w:szCs w:val="26"/>
        </w:rPr>
        <w:t xml:space="preserve">Cir. 1993) (leaving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[t]he delineation of how far apart in time trades may be without being too far apart to satisfy the contemporaneous trading requirement [to be] worked out in cases much closer to a probable borderline than this one[,]</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which alleged a three-year period of contemporaneous trading). There are recent cases that restrict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contemporaneous</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trading under Section 20A to one day. </w:t>
      </w:r>
      <w:r w:rsidRPr="00F101C4">
        <w:rPr>
          <w:rFonts w:ascii="Times New Roman" w:eastAsia="Arial" w:hAnsi="Times New Roman" w:cs="Times New Roman"/>
          <w:sz w:val="26"/>
          <w:szCs w:val="26"/>
        </w:rPr>
        <w:t>Defs' Opp'n</w:t>
      </w:r>
      <w:r w:rsidRPr="00BF0BE3">
        <w:rPr>
          <w:rFonts w:ascii="Times New Roman" w:eastAsia="Arial" w:hAnsi="Times New Roman" w:cs="Times New Roman"/>
          <w:sz w:val="26"/>
          <w:szCs w:val="26"/>
        </w:rPr>
        <w:t xml:space="preserve"> at 9-10 (citing</w:t>
      </w:r>
      <w:r w:rsidRPr="00F101C4">
        <w:rPr>
          <w:rFonts w:ascii="Times New Roman" w:eastAsia="Arial" w:hAnsi="Times New Roman" w:cs="Times New Roman"/>
          <w:sz w:val="26"/>
          <w:szCs w:val="26"/>
        </w:rPr>
        <w:t>, inter alia</w:t>
      </w:r>
      <w:r w:rsidRPr="00F60AA1">
        <w:rPr>
          <w:rFonts w:ascii="Times New Roman" w:eastAsia="Arial" w:hAnsi="Times New Roman" w:cs="Times New Roman"/>
          <w:i/>
          <w:sz w:val="26"/>
          <w:szCs w:val="26"/>
        </w:rPr>
        <w:t>, In re AST Research Sec. Litig.</w:t>
      </w:r>
      <w:r w:rsidRPr="00BF0BE3">
        <w:rPr>
          <w:rFonts w:ascii="Times New Roman" w:eastAsia="Arial" w:hAnsi="Times New Roman" w:cs="Times New Roman"/>
          <w:sz w:val="26"/>
          <w:szCs w:val="26"/>
        </w:rPr>
        <w:t>, 887 F.</w:t>
      </w:r>
      <w:r>
        <w:rPr>
          <w:rFonts w:ascii="Times New Roman" w:eastAsia="Arial" w:hAnsi="Times New Roman" w:cs="Times New Roman"/>
          <w:sz w:val="26"/>
          <w:szCs w:val="26"/>
        </w:rPr>
        <w:t xml:space="preserve"> </w:t>
      </w:r>
      <w:r w:rsidRPr="00BF0BE3">
        <w:rPr>
          <w:rFonts w:ascii="Times New Roman" w:eastAsia="Arial" w:hAnsi="Times New Roman" w:cs="Times New Roman"/>
          <w:sz w:val="26"/>
          <w:szCs w:val="26"/>
        </w:rPr>
        <w:t>Supp. 231, 233, 234 (C.D. Cal. 1995)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The same day standard is the only reasonable standard given the way the stock market functions.</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and </w:t>
      </w:r>
      <w:r w:rsidRPr="00F60AA1">
        <w:rPr>
          <w:rFonts w:ascii="Times New Roman" w:eastAsia="Arial" w:hAnsi="Times New Roman" w:cs="Times New Roman"/>
          <w:i/>
          <w:sz w:val="26"/>
          <w:szCs w:val="26"/>
        </w:rPr>
        <w:t>In re Countrywide</w:t>
      </w:r>
      <w:r w:rsidRPr="00BF0BE3">
        <w:rPr>
          <w:rFonts w:ascii="Times New Roman" w:eastAsia="Arial" w:hAnsi="Times New Roman" w:cs="Times New Roman"/>
          <w:sz w:val="26"/>
          <w:szCs w:val="26"/>
        </w:rPr>
        <w:t>, 588 F.</w:t>
      </w:r>
      <w:r>
        <w:rPr>
          <w:rFonts w:ascii="Times New Roman" w:eastAsia="Arial" w:hAnsi="Times New Roman" w:cs="Times New Roman"/>
          <w:sz w:val="26"/>
          <w:szCs w:val="26"/>
        </w:rPr>
        <w:t xml:space="preserve"> </w:t>
      </w:r>
      <w:r w:rsidRPr="00BF0BE3">
        <w:rPr>
          <w:rFonts w:ascii="Times New Roman" w:eastAsia="Arial" w:hAnsi="Times New Roman" w:cs="Times New Roman"/>
          <w:sz w:val="26"/>
          <w:szCs w:val="26"/>
        </w:rPr>
        <w:t>Supp.</w:t>
      </w:r>
      <w:r>
        <w:rPr>
          <w:rFonts w:ascii="Times New Roman" w:eastAsia="Arial" w:hAnsi="Times New Roman" w:cs="Times New Roman"/>
          <w:sz w:val="26"/>
          <w:szCs w:val="26"/>
        </w:rPr>
        <w:t xml:space="preserve"> </w:t>
      </w:r>
      <w:r w:rsidRPr="00BF0BE3">
        <w:rPr>
          <w:rFonts w:ascii="Times New Roman" w:eastAsia="Arial" w:hAnsi="Times New Roman" w:cs="Times New Roman"/>
          <w:sz w:val="26"/>
          <w:szCs w:val="26"/>
        </w:rPr>
        <w:t>2d 1132 (C.D. Cal. Dec. 1, 2008), for the same proposition).</w:t>
      </w:r>
      <w:bookmarkEnd w:id="0"/>
    </w:p>
    <w:sectPr w:rsidR="00725167" w:rsidRPr="00BA604B" w:rsidSect="009A29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877" w:rsidRDefault="00E14877" w:rsidP="00E14877">
      <w:pPr>
        <w:spacing w:after="0" w:line="240" w:lineRule="auto"/>
      </w:pPr>
      <w:r>
        <w:separator/>
      </w:r>
    </w:p>
  </w:endnote>
  <w:endnote w:type="continuationSeparator" w:id="0">
    <w:p w:rsidR="00E14877" w:rsidRDefault="00E14877" w:rsidP="00E1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877" w:rsidRDefault="00E14877" w:rsidP="00E14877">
      <w:pPr>
        <w:spacing w:after="0" w:line="240" w:lineRule="auto"/>
      </w:pPr>
      <w:r>
        <w:separator/>
      </w:r>
    </w:p>
  </w:footnote>
  <w:footnote w:type="continuationSeparator" w:id="0">
    <w:p w:rsidR="00E14877" w:rsidRDefault="00E14877" w:rsidP="00E148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5"/>
    <w:rsid w:val="00014B03"/>
    <w:rsid w:val="0012451E"/>
    <w:rsid w:val="001E02CA"/>
    <w:rsid w:val="001E531F"/>
    <w:rsid w:val="00240B28"/>
    <w:rsid w:val="002B67EE"/>
    <w:rsid w:val="003C6FF2"/>
    <w:rsid w:val="00427B27"/>
    <w:rsid w:val="005819CC"/>
    <w:rsid w:val="005E5DC1"/>
    <w:rsid w:val="00703AA4"/>
    <w:rsid w:val="00725167"/>
    <w:rsid w:val="0076151A"/>
    <w:rsid w:val="007B150F"/>
    <w:rsid w:val="007B74C2"/>
    <w:rsid w:val="007D42A6"/>
    <w:rsid w:val="00803736"/>
    <w:rsid w:val="0081575C"/>
    <w:rsid w:val="0089546D"/>
    <w:rsid w:val="008B5673"/>
    <w:rsid w:val="00927349"/>
    <w:rsid w:val="009A03FE"/>
    <w:rsid w:val="009A2945"/>
    <w:rsid w:val="00A45395"/>
    <w:rsid w:val="00AD447F"/>
    <w:rsid w:val="00BA403B"/>
    <w:rsid w:val="00BA604B"/>
    <w:rsid w:val="00C473BC"/>
    <w:rsid w:val="00DC18AE"/>
    <w:rsid w:val="00DD3EED"/>
    <w:rsid w:val="00E14877"/>
    <w:rsid w:val="00E33549"/>
    <w:rsid w:val="00E60CBF"/>
    <w:rsid w:val="00E7659F"/>
    <w:rsid w:val="00F9797A"/>
    <w:rsid w:val="00FE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E14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877"/>
  </w:style>
  <w:style w:type="paragraph" w:styleId="Footer">
    <w:name w:val="footer"/>
    <w:basedOn w:val="Normal"/>
    <w:link w:val="FooterChar"/>
    <w:uiPriority w:val="99"/>
    <w:unhideWhenUsed/>
    <w:rsid w:val="00E14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E14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877"/>
  </w:style>
  <w:style w:type="paragraph" w:styleId="Footer">
    <w:name w:val="footer"/>
    <w:basedOn w:val="Normal"/>
    <w:link w:val="FooterChar"/>
    <w:uiPriority w:val="99"/>
    <w:unhideWhenUsed/>
    <w:rsid w:val="00E14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1472</Words>
  <Characters>8397</Characters>
  <Application>Microsoft Office Word</Application>
  <DocSecurity>0</DocSecurity>
  <Lines>69</Lines>
  <Paragraphs>19</Paragraphs>
  <ScaleCrop>false</ScaleCrop>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2014-06-09T17:44:00Z</dcterms:created>
  <dcterms:modified xsi:type="dcterms:W3CDTF">2014-06-20T23:59:00Z</dcterms:modified>
</cp:coreProperties>
</file>