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FA" w:rsidRDefault="008872FA" w:rsidP="008872FA">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6.5 Securities Exchange Act § 14</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1 </w:instrText>
      </w:r>
      <w:r>
        <w:rPr>
          <w:rFonts w:ascii="Times New Roman" w:eastAsia="Arial" w:hAnsi="Times New Roman"/>
          <w:b/>
          <w:sz w:val="28"/>
          <w:szCs w:val="28"/>
        </w:rPr>
        <w:fldChar w:fldCharType="end"/>
      </w:r>
      <w:r>
        <w:rPr>
          <w:rFonts w:ascii="Times New Roman" w:eastAsia="Arial" w:hAnsi="Times New Roman"/>
          <w:b/>
          <w:sz w:val="28"/>
          <w:szCs w:val="28"/>
        </w:rPr>
        <w:t xml:space="preserve"> – 15 U.S.C. § 77n – Rule 14a-9</w:t>
      </w:r>
    </w:p>
    <w:p w:rsidR="008872FA" w:rsidRDefault="008872FA" w:rsidP="00583487">
      <w:pPr>
        <w:spacing w:after="0" w:line="480" w:lineRule="auto"/>
        <w:ind w:left="432"/>
        <w:jc w:val="both"/>
        <w:rPr>
          <w:rFonts w:ascii="Times New Roman" w:eastAsia="Arial" w:hAnsi="Times New Roman"/>
          <w:b/>
          <w:sz w:val="28"/>
          <w:szCs w:val="28"/>
        </w:rPr>
      </w:pPr>
      <w:r>
        <w:rPr>
          <w:rFonts w:ascii="Times New Roman" w:eastAsia="Arial" w:hAnsi="Times New Roman"/>
          <w:b/>
          <w:sz w:val="28"/>
          <w:szCs w:val="28"/>
        </w:rPr>
        <w:t>17 C.F.R. § 14a-9 – Solicitation of Proxies</w:t>
      </w:r>
      <w:bookmarkStart w:id="0" w:name="_GoBack"/>
      <w:bookmarkEnd w:id="0"/>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Securities and Exchange Commission, also known as the SEC] asserts a claim under Section 14</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of the Securities Exchange Act of 1934.</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Securities Exchange Act is a federal statute that allows [the Securities and Exchange Commission, also known as the SEC/the SEC]</w:t>
      </w:r>
      <w:r w:rsidR="00BA02A9">
        <w:rPr>
          <w:rFonts w:ascii="Times New Roman" w:eastAsia="Arial" w:hAnsi="Times New Roman" w:cs="Times New Roman"/>
          <w:sz w:val="28"/>
          <w:szCs w:val="28"/>
        </w:rPr>
        <w:t>,</w:t>
      </w:r>
      <w:r w:rsidRPr="00681690">
        <w:rPr>
          <w:rFonts w:ascii="Times New Roman" w:eastAsia="Arial" w:hAnsi="Times New Roman" w:cs="Times New Roman"/>
          <w:sz w:val="28"/>
          <w:szCs w:val="28"/>
        </w:rPr>
        <w:t xml:space="preserve"> to enact rules and regulations prohibiting certain conduct in the purchase or sale of securities. Section 14</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of the Act makes it “unlawful for any person… in contravention of such rules and regulations as the [Securities and Exchange] Commission may prescribe as necessary or appropriate in the public interest for the protection of investors, to solicit or to permit the use of his name to solicit any proxy or consent or authorization in respect of any security.”</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Rule 14a-9 forbids a person from soliciting proxies, consents, or authorizations from security holders by any written or oral communication that, at the time and in light of the circumstances under which the person makes it, is false or misleading about any material fact, or which omits any material fact that is necessary to make the communication not false or misleading.</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For the purposes of Rule 14a-9, a “security” is generally a share of stock that has the right to cast a vote in connection with the election of directors or approval of corporate actions or transactions. A “proxy” is simply an authorization the </w:t>
      </w:r>
      <w:r w:rsidRPr="00681690">
        <w:rPr>
          <w:rFonts w:ascii="Times New Roman" w:eastAsia="Arial" w:hAnsi="Times New Roman" w:cs="Times New Roman"/>
          <w:sz w:val="28"/>
          <w:szCs w:val="28"/>
        </w:rPr>
        <w:lastRenderedPageBreak/>
        <w:t>holder of stock grants to vote that stock. Because shareholders usually can’t attend shareholder meetings in person, most votes cast at those meetings are cast through proxies that have been acquired from shareholders through a proxy solicitation. A “proxy solicitation” is a communication to shareholders under circumstances reasonably calculated to procure [, withhold, or revoke] a proxy. A “proxy statement” is a document that must be sent to security holders whenever their votes are solicited.</w:t>
      </w:r>
    </w:p>
    <w:p w:rsidR="00BA02A9"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prove a claim under Exchange Act § 14</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and Rule 14a-9,</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00BA02A9" w:rsidRPr="00BA02A9">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ame of plaintiff</w:t>
      </w:r>
      <w:r w:rsidRPr="00681690">
        <w:rPr>
          <w:rFonts w:ascii="Times New Roman" w:eastAsia="Arial" w:hAnsi="Times New Roman" w:cs="Times New Roman"/>
          <w:sz w:val="28"/>
          <w:szCs w:val="28"/>
        </w:rPr>
        <w:t>/the SEC] must prove each of the following elements by a preponderance of the evidence:</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in soliciting proxies, either through a proxy statement or other written or oral communication,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misstated or omitted material information necessary to prevent the proxy solicitation from being misleading.</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Second,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negligent in making the material misstatement or omission.</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third/Third], you must find that the proxy materials were an essential link in the accomplishment of a corporate action or transaction.</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fourth element is not required in cases brought by the SEC.]</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fourth, you must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suffered actual damages </w:t>
      </w:r>
      <w:r w:rsidRPr="00681690">
        <w:rPr>
          <w:rFonts w:ascii="Times New Roman" w:eastAsia="Arial" w:hAnsi="Times New Roman" w:cs="Times New Roman"/>
          <w:sz w:val="28"/>
          <w:szCs w:val="28"/>
        </w:rPr>
        <w:lastRenderedPageBreak/>
        <w:t>as a proximate result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wrongful conduct.]</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the verdict form that I’ll explain in a moment, you’ll be asked to answer questions about these factual issues.]</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Now I’ll provide you with some additional instructions to help you as you consider the facts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first element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 must prove is that the proxy solicitations at issue misrepresented or omitted material information necessary to prevent the proxy solicitation from being misleading.</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“misrepresentation” is a statement that is not true. An “omission” is the failure to state facts that would be necessary to make the statements not misleading. In particular, the information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 claims was wrongfully misrepresented or omitted from the proxy statement was [</w:t>
      </w:r>
      <w:r w:rsidRPr="00681690">
        <w:rPr>
          <w:rFonts w:ascii="Times New Roman" w:eastAsia="Arial" w:hAnsi="Times New Roman" w:cs="Times New Roman"/>
          <w:sz w:val="28"/>
          <w:szCs w:val="28"/>
          <w:u w:val="single"/>
        </w:rPr>
        <w:t>describe the specific information claimed to have been misrepresented or omitted</w:t>
      </w:r>
      <w:r w:rsidRPr="00681690">
        <w:rPr>
          <w:rFonts w:ascii="Times New Roman" w:eastAsia="Arial" w:hAnsi="Times New Roman" w:cs="Times New Roman"/>
          <w:sz w:val="28"/>
          <w:szCs w:val="28"/>
        </w:rPr>
        <w:t>].</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misstatement or omission of fact is “material” if there is a substantial likelihood that a reasonable shareholder would have considered the misrepresented or omitted fact important in deciding how to vote.</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 doesn’t have to show that knowing the correct or omitted fact would cause a reasonable shareholder to change [his/her] vote. It’s enough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shows that those facts would have been significant in a reasonable shareholder’s decision. Put another way, there must be a substantial </w:t>
      </w:r>
      <w:r w:rsidRPr="00681690">
        <w:rPr>
          <w:rFonts w:ascii="Times New Roman" w:eastAsia="Arial" w:hAnsi="Times New Roman" w:cs="Times New Roman"/>
          <w:sz w:val="28"/>
          <w:szCs w:val="28"/>
        </w:rPr>
        <w:lastRenderedPageBreak/>
        <w:t>likelihood that a reasonable investor would view the misstated or omitted fact’s disclosure as significantly altering the total mix of available information. A minor or trivial detail is not a material fact.</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must base a finding of materiality on the facts that existed when the statement was made. You can’t consider events occurring after the statement or omission to determine whether the statement or omission was material when it was made, except to the extent that those facts help you understand the facts that existed at the time of the proxy statement.</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[Predictions, opinions, and other projections (if they aren’t expressed as guarantees) aren’t representations of material facts – unless the person or entity communicating them doesn’t believe, or have a reasonable basis for believing, they’re true. But if the person or entity making the predictions, opinions, or projections actually believed them at the time or had a reasonable basis for making them, then the statements are not materially misleading statements of fact. The focus is on whether the statements were false or misleading when they were made. Later events proving that the predictions, expressions of opinion, or projections were wrong don’t create a violation of Rule 14a-9.]</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has made false or inaccurate statements before in the proxy solicitation regarding material facts, [he/she/it] has a duty to correct those statements if it is discovered later that those statements weren’t true when made </w:t>
      </w:r>
      <w:r w:rsidRPr="00681690">
        <w:rPr>
          <w:rFonts w:ascii="Times New Roman" w:eastAsia="Arial" w:hAnsi="Times New Roman" w:cs="Times New Roman"/>
          <w:sz w:val="28"/>
          <w:szCs w:val="28"/>
        </w:rPr>
        <w:lastRenderedPageBreak/>
        <w:t>and they remain material to a shareholder’s investment decision.</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negligent in making the misrepresentation or omission. “Negligence” is the failure to exercise the due diligence, care, or competence that a reasonable person would when making representations, or deciding what facts to disclose, in the proxy solicitation. Ask yourself: Would a reasonable person have made or omitted the statements in the proxy solicitation?</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 must prove that the proxy solicitation was an essential link in the accomplishment of a corporate action or transaction.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 must prove that the votes of shareholders who were solicited were required at the time to accomplish the corporate action or transaction, and that without the proxy solicitation, the proposed corporate action or transaction couldn’t have been accomplished.</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fourth element and the following damages instruction is not given in cases brought by the SEC. The instruction bracketed at the end of this instruction is given in SEC cases.]</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fourth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[he/she/it] suffered damage as a proximate result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alleged misstatement or omission. That is,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must prove that the misrepresentation or omission was a substantial or significant contributing cause </w:t>
      </w:r>
      <w:r w:rsidRPr="00681690">
        <w:rPr>
          <w:rFonts w:ascii="Times New Roman" w:eastAsia="Arial" w:hAnsi="Times New Roman" w:cs="Times New Roman"/>
          <w:sz w:val="28"/>
          <w:szCs w:val="28"/>
        </w:rPr>
        <w:lastRenderedPageBreak/>
        <w:t>for the loss so that – except for the misrepresentation or omission – the loss wouldn’t have occurred. Ask yourself: If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not misrepresented [or omitted] the facts, would these damages have occurred?]</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proved [his/her/its] claim by a preponderance of the evidence, you must then consider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entitled to recover damages to compensate [him/her/it] for the damages suffered because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assess the monetary amount that a preponderance of the evidence justifies as full and reasonable compensation for all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 no more, no less. You must not impose or increase these compensatory damages to punish or penalize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you must not base these compensatory damages on speculation or guesswork because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can recover only [his/her] actual damages.</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Here,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theory of recoverable compensatory or economic damages is: [</w:t>
      </w:r>
      <w:r w:rsidRPr="00681690">
        <w:rPr>
          <w:rFonts w:ascii="Times New Roman" w:eastAsia="Arial" w:hAnsi="Times New Roman" w:cs="Times New Roman"/>
          <w:sz w:val="28"/>
          <w:szCs w:val="28"/>
          <w:u w:val="single"/>
        </w:rPr>
        <w:t>describe theory</w:t>
      </w:r>
      <w:r w:rsidRPr="00681690">
        <w:rPr>
          <w:rFonts w:ascii="Times New Roman" w:eastAsia="Arial" w:hAnsi="Times New Roman" w:cs="Times New Roman"/>
          <w:sz w:val="28"/>
          <w:szCs w:val="28"/>
        </w:rPr>
        <w:t>].]</w:t>
      </w:r>
    </w:p>
    <w:p w:rsidR="008872FA" w:rsidRPr="00681690" w:rsidRDefault="008872FA" w:rsidP="008872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be given in SEC cases: If you find that the SEC has proved one or more of its claims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 alone will determine the remedy or remedies to be imposed later.]</w:t>
      </w:r>
    </w:p>
    <w:p w:rsidR="008872FA" w:rsidRPr="0002451A" w:rsidRDefault="008872FA" w:rsidP="00802DE6">
      <w:pPr>
        <w:pBdr>
          <w:bottom w:val="single" w:sz="12" w:space="1" w:color="auto"/>
        </w:pBdr>
        <w:spacing w:after="240" w:line="240" w:lineRule="auto"/>
        <w:jc w:val="center"/>
        <w:rPr>
          <w:rFonts w:ascii="Times New Roman" w:eastAsia="Arial" w:hAnsi="Times New Roman" w:cs="Times New Roman"/>
          <w:b/>
          <w:smallCaps/>
          <w:sz w:val="28"/>
          <w:szCs w:val="28"/>
        </w:rPr>
      </w:pPr>
      <w:r w:rsidRPr="0002451A">
        <w:rPr>
          <w:rFonts w:ascii="Times New Roman" w:eastAsia="Arial" w:hAnsi="Times New Roman" w:cs="Times New Roman"/>
          <w:b/>
          <w:smallCaps/>
          <w:sz w:val="28"/>
          <w:szCs w:val="28"/>
        </w:rPr>
        <w:t>Special Interrogatories to the Jury</w:t>
      </w:r>
    </w:p>
    <w:p w:rsidR="008872FA" w:rsidRPr="00591AB8" w:rsidRDefault="008872FA" w:rsidP="008872FA">
      <w:pPr>
        <w:spacing w:after="0" w:line="480" w:lineRule="auto"/>
        <w:ind w:right="720" w:firstLine="720"/>
        <w:jc w:val="both"/>
        <w:rPr>
          <w:rFonts w:ascii="Times New Roman" w:eastAsia="Arial" w:hAnsi="Times New Roman" w:cs="Times New Roman"/>
          <w:b/>
          <w:sz w:val="28"/>
          <w:szCs w:val="28"/>
        </w:rPr>
      </w:pPr>
      <w:r w:rsidRPr="00591AB8">
        <w:rPr>
          <w:rFonts w:ascii="Times New Roman" w:eastAsia="Arial" w:hAnsi="Times New Roman" w:cs="Times New Roman"/>
          <w:b/>
          <w:sz w:val="28"/>
          <w:szCs w:val="28"/>
        </w:rPr>
        <w:t>Do you find from a preponderance of the evidence:</w:t>
      </w:r>
    </w:p>
    <w:p w:rsidR="008872FA" w:rsidRPr="00681690" w:rsidRDefault="008872FA" w:rsidP="008872FA">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in soliciting proxies, misstated or omitted material information necessary to prevent the proxy from being misleading?</w:t>
      </w:r>
    </w:p>
    <w:p w:rsidR="008872FA" w:rsidRPr="00681690" w:rsidRDefault="008872FA" w:rsidP="008872FA">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8872FA" w:rsidRPr="00681690" w:rsidRDefault="008872FA" w:rsidP="008872FA">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negligent in making the misstatement or omission?</w:t>
      </w:r>
    </w:p>
    <w:p w:rsidR="008872FA" w:rsidRPr="00681690" w:rsidRDefault="008872FA" w:rsidP="008872FA">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8872FA" w:rsidRPr="00681690" w:rsidRDefault="008872FA" w:rsidP="008872FA">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the proxy solicitation was an “essential link” in the accomplishment of a corporate action or transaction?</w:t>
      </w:r>
      <w:r w:rsidR="00BA02A9">
        <w:rPr>
          <w:rFonts w:ascii="Times New Roman" w:eastAsia="Arial" w:hAnsi="Times New Roman" w:cs="Times New Roman"/>
          <w:sz w:val="28"/>
          <w:szCs w:val="28"/>
        </w:rPr>
        <w:t>”</w:t>
      </w:r>
    </w:p>
    <w:p w:rsidR="008872FA" w:rsidRPr="00681690" w:rsidRDefault="008872FA" w:rsidP="008872FA">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8872FA" w:rsidRPr="00681690" w:rsidRDefault="008872FA" w:rsidP="008872FA">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[Exclude interrogatories 4 and 5 in cases brought by the SEC.]</w:t>
      </w:r>
    </w:p>
    <w:p w:rsidR="008872FA" w:rsidRPr="00681690" w:rsidRDefault="008872FA" w:rsidP="008872FA">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damages as a proximate result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wrongful conduct?</w:t>
      </w:r>
    </w:p>
    <w:p w:rsidR="008872FA" w:rsidRPr="00681690" w:rsidRDefault="008872FA" w:rsidP="008872FA">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8872FA" w:rsidRPr="00681690" w:rsidRDefault="008872FA" w:rsidP="008872FA">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w:t>
      </w:r>
      <w:r w:rsidR="00BA02A9">
        <w:rPr>
          <w:rFonts w:ascii="Times New Roman" w:eastAsia="Arial" w:hAnsi="Times New Roman" w:cs="Times New Roman"/>
          <w:sz w:val="28"/>
          <w:szCs w:val="28"/>
        </w:rPr>
        <w:t>ote</w:t>
      </w:r>
      <w:r w:rsidRPr="00681690">
        <w:rPr>
          <w:rFonts w:ascii="Times New Roman" w:eastAsia="Arial" w:hAnsi="Times New Roman" w:cs="Times New Roman"/>
          <w:sz w:val="28"/>
          <w:szCs w:val="28"/>
        </w:rPr>
        <w:t>: If you answered “No” to any of the preceding questions, this ends your deliberations, and your foreperson should sign and date the last page of this verdict form. If you answered “Yes” to each question, go to the next question.]</w:t>
      </w:r>
    </w:p>
    <w:p w:rsidR="008872FA" w:rsidRPr="00681690" w:rsidRDefault="008872FA" w:rsidP="008872FA">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damages?</w:t>
      </w:r>
    </w:p>
    <w:p w:rsidR="008872FA" w:rsidRPr="00681690" w:rsidRDefault="008872FA" w:rsidP="008872FA">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8872FA" w:rsidRPr="00681690" w:rsidRDefault="008872FA" w:rsidP="008872FA">
      <w:pPr>
        <w:spacing w:after="0" w:line="24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“Yes,”</w:t>
      </w:r>
    </w:p>
    <w:p w:rsidR="008872FA" w:rsidRPr="00681690" w:rsidRDefault="008872FA" w:rsidP="00802DE6">
      <w:pPr>
        <w:spacing w:after="0" w:line="48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what amount?</w:t>
      </w:r>
      <w:r w:rsidRPr="00681690">
        <w:rPr>
          <w:rFonts w:ascii="Times New Roman" w:eastAsia="Arial" w:hAnsi="Times New Roman" w:cs="Times New Roman"/>
          <w:sz w:val="28"/>
          <w:szCs w:val="28"/>
        </w:rPr>
        <w:tab/>
        <w:t xml:space="preserve"> </w:t>
      </w:r>
      <w:r w:rsidRPr="00681690">
        <w:rPr>
          <w:rFonts w:ascii="Times New Roman" w:eastAsia="Arial" w:hAnsi="Times New Roman" w:cs="Times New Roman"/>
          <w:sz w:val="28"/>
          <w:szCs w:val="28"/>
        </w:rPr>
        <w:tab/>
        <w:t>$_____________</w:t>
      </w:r>
    </w:p>
    <w:p w:rsidR="008872FA" w:rsidRPr="00681690" w:rsidRDefault="008872FA" w:rsidP="00802DE6">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8872FA" w:rsidRPr="00681690" w:rsidRDefault="008872FA" w:rsidP="00802DE6">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8872FA" w:rsidRPr="00681690" w:rsidRDefault="008872FA" w:rsidP="00802DE6">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725167" w:rsidRPr="008872FA" w:rsidRDefault="008872FA" w:rsidP="00802DE6">
      <w:pPr>
        <w:spacing w:after="0" w:line="24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725167" w:rsidRPr="008872FA" w:rsidSect="00735BA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23" w:rsidRDefault="00C71623" w:rsidP="00C71623">
      <w:pPr>
        <w:spacing w:after="0" w:line="240" w:lineRule="auto"/>
      </w:pPr>
      <w:r>
        <w:separator/>
      </w:r>
    </w:p>
  </w:endnote>
  <w:endnote w:type="continuationSeparator" w:id="0">
    <w:p w:rsidR="00C71623" w:rsidRDefault="00C71623" w:rsidP="00C7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23" w:rsidRDefault="00C71623" w:rsidP="00C71623">
      <w:pPr>
        <w:spacing w:after="0" w:line="240" w:lineRule="auto"/>
      </w:pPr>
      <w:r>
        <w:separator/>
      </w:r>
    </w:p>
  </w:footnote>
  <w:footnote w:type="continuationSeparator" w:id="0">
    <w:p w:rsidR="00C71623" w:rsidRDefault="00C71623" w:rsidP="00C716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1F65C4"/>
    <w:rsid w:val="0024704F"/>
    <w:rsid w:val="00287B88"/>
    <w:rsid w:val="004441EE"/>
    <w:rsid w:val="004A301A"/>
    <w:rsid w:val="00583487"/>
    <w:rsid w:val="00620C71"/>
    <w:rsid w:val="00652BA3"/>
    <w:rsid w:val="006A2BE2"/>
    <w:rsid w:val="006B2CC1"/>
    <w:rsid w:val="00725167"/>
    <w:rsid w:val="00735BA3"/>
    <w:rsid w:val="00802DE6"/>
    <w:rsid w:val="0081575C"/>
    <w:rsid w:val="00877074"/>
    <w:rsid w:val="008872FA"/>
    <w:rsid w:val="00AD0927"/>
    <w:rsid w:val="00B4168B"/>
    <w:rsid w:val="00B845B3"/>
    <w:rsid w:val="00B966EE"/>
    <w:rsid w:val="00BA02A9"/>
    <w:rsid w:val="00C4295E"/>
    <w:rsid w:val="00C71623"/>
    <w:rsid w:val="00CD564C"/>
    <w:rsid w:val="00D0772E"/>
    <w:rsid w:val="00DC18AE"/>
    <w:rsid w:val="00E70797"/>
    <w:rsid w:val="00EC4621"/>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C71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23"/>
  </w:style>
  <w:style w:type="paragraph" w:styleId="Footer">
    <w:name w:val="footer"/>
    <w:basedOn w:val="Normal"/>
    <w:link w:val="FooterChar"/>
    <w:uiPriority w:val="99"/>
    <w:unhideWhenUsed/>
    <w:rsid w:val="00C71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C71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23"/>
  </w:style>
  <w:style w:type="paragraph" w:styleId="Footer">
    <w:name w:val="footer"/>
    <w:basedOn w:val="Normal"/>
    <w:link w:val="FooterChar"/>
    <w:uiPriority w:val="99"/>
    <w:unhideWhenUsed/>
    <w:rsid w:val="00C71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1483</Words>
  <Characters>8455</Characters>
  <Application>Microsoft Office Word</Application>
  <DocSecurity>0</DocSecurity>
  <Lines>70</Lines>
  <Paragraphs>19</Paragraphs>
  <ScaleCrop>false</ScaleCrop>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2014-04-30T03:08:00Z</dcterms:created>
  <dcterms:modified xsi:type="dcterms:W3CDTF">2014-06-20T23:48:00Z</dcterms:modified>
</cp:coreProperties>
</file>