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957" w:rsidRDefault="003A4957" w:rsidP="003A4957">
      <w:pPr>
        <w:spacing w:after="0" w:line="240" w:lineRule="auto"/>
        <w:ind w:left="763" w:hanging="763"/>
        <w:jc w:val="both"/>
        <w:rPr>
          <w:rFonts w:ascii="Times New Roman" w:eastAsia="Arial" w:hAnsi="Times New Roman"/>
          <w:b/>
          <w:sz w:val="28"/>
          <w:szCs w:val="28"/>
        </w:rPr>
      </w:pPr>
      <w:r>
        <w:rPr>
          <w:rFonts w:ascii="Times New Roman" w:eastAsia="Arial" w:hAnsi="Times New Roman"/>
          <w:b/>
          <w:sz w:val="28"/>
          <w:szCs w:val="28"/>
        </w:rPr>
        <w:t>6.6 Section 12</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1 </w:instrText>
      </w:r>
      <w:r>
        <w:rPr>
          <w:rFonts w:ascii="Times New Roman" w:eastAsia="Arial" w:hAnsi="Times New Roman"/>
          <w:b/>
          <w:sz w:val="28"/>
          <w:szCs w:val="28"/>
        </w:rPr>
        <w:fldChar w:fldCharType="end"/>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4 \s 1 </w:instrText>
      </w:r>
      <w:r>
        <w:rPr>
          <w:rFonts w:ascii="Times New Roman" w:eastAsia="Arial" w:hAnsi="Times New Roman"/>
          <w:b/>
          <w:sz w:val="28"/>
          <w:szCs w:val="28"/>
        </w:rPr>
        <w:fldChar w:fldCharType="end"/>
      </w:r>
      <w:r>
        <w:rPr>
          <w:rFonts w:ascii="Times New Roman" w:eastAsia="Arial" w:hAnsi="Times New Roman"/>
          <w:b/>
          <w:sz w:val="28"/>
          <w:szCs w:val="28"/>
        </w:rPr>
        <w:t xml:space="preserve"> of the Securities Exchange Act of 1933 – 15 U.S.C. § 77</w:t>
      </w:r>
      <w:r w:rsidR="002F17C0">
        <w:rPr>
          <w:rFonts w:ascii="Times New Roman" w:eastAsia="Arial" w:hAnsi="Times New Roman"/>
          <w:b/>
          <w:sz w:val="28"/>
          <w:szCs w:val="28"/>
        </w:rPr>
        <w:t xml:space="preserve">l </w:t>
      </w:r>
      <w:r>
        <w:rPr>
          <w:rFonts w:ascii="Times New Roman" w:eastAsia="Arial" w:hAnsi="Times New Roman"/>
          <w:b/>
          <w:sz w:val="28"/>
          <w:szCs w:val="28"/>
        </w:rPr>
        <w:t>–</w:t>
      </w:r>
    </w:p>
    <w:p w:rsidR="003A4957" w:rsidRDefault="003A4957" w:rsidP="00E47E17">
      <w:pPr>
        <w:spacing w:after="0" w:line="480" w:lineRule="auto"/>
        <w:ind w:left="432"/>
        <w:jc w:val="both"/>
        <w:rPr>
          <w:rFonts w:ascii="Times New Roman" w:eastAsia="Arial" w:hAnsi="Times New Roman"/>
          <w:b/>
          <w:sz w:val="28"/>
          <w:szCs w:val="28"/>
        </w:rPr>
      </w:pPr>
      <w:r>
        <w:rPr>
          <w:rFonts w:ascii="Times New Roman" w:eastAsia="Arial" w:hAnsi="Times New Roman"/>
          <w:b/>
          <w:sz w:val="28"/>
          <w:szCs w:val="28"/>
        </w:rPr>
        <w:t>Sale of an Unregistered Security in Violation of § 5</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bookmarkStart w:id="0" w:name="_GoBack"/>
      <w:bookmarkEnd w:id="0"/>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asserts a claim under § 12</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4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of the Securities Act of 1933 for the sale of an unregistered security to [him/her/it] in violation of § 5 of the Securities Act.</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Sections 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3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of the Securities Act of 1933 require the offer or sale of certain securities to be registered. Registering securities ensures that companies file essential facts with the Securities and Exchange Commission, also known as the SEC, which then makes these facts public. Without an exemption from the Securities Act’s registration requirements, it’s unlawful for any person to use an instrumentality of interstate commerce to sell an unregistered security.</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who claims that someone violated § 12</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4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may bring a civil action for damages [he/she/it] suffered as a result.</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a claim under § 12</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4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each of the following facts by a preponderance of the evidence:</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directly or indirectly sold securities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 of transportation or communication in interstate commerce in connection with the offer or sale of a security.</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Third, you must find that a registration statement for the securities was not </w:t>
      </w:r>
      <w:r w:rsidRPr="00681690">
        <w:rPr>
          <w:rFonts w:ascii="Times New Roman" w:eastAsia="Arial" w:hAnsi="Times New Roman" w:cs="Times New Roman"/>
          <w:sz w:val="28"/>
          <w:szCs w:val="28"/>
        </w:rPr>
        <w:lastRenderedPageBreak/>
        <w:t>in effect as Securities Act § 5 requires.</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fourth,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the verdict form that I’ll explain in a moment, you’ll be asked to answer questions about these factual issues.]</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Now I’ll provide you with some additional instructions to help you as you consider the facts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first element –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directly or indirectly sold securities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 you must use these definitions:</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“security” is an investment in a commercial, financial, or other business enterprise with the expectation that profits or other gain will be produced by others. Some common types of securities are [stocks,] [bonds,] [debentures,] [warrants,] [and] [investment contracts]. [The [</w:t>
      </w:r>
      <w:r w:rsidRPr="00681690">
        <w:rPr>
          <w:rFonts w:ascii="Times New Roman" w:eastAsia="Arial" w:hAnsi="Times New Roman" w:cs="Times New Roman"/>
          <w:sz w:val="28"/>
          <w:szCs w:val="28"/>
          <w:u w:val="single"/>
        </w:rPr>
        <w:t>describe type of security</w:t>
      </w:r>
      <w:r w:rsidRPr="00681690">
        <w:rPr>
          <w:rFonts w:ascii="Times New Roman" w:eastAsia="Arial" w:hAnsi="Times New Roman" w:cs="Times New Roman"/>
          <w:sz w:val="28"/>
          <w:szCs w:val="28"/>
        </w:rPr>
        <w:t>] in this case is a security.]</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there is a genuine question about whether the case involves a security, additional instructions will be needed here.]</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terms “sale” or “sell” mean the transfer of a security for value. This includes the transfer of a contract of sale for value or any other disposition for value of a security or interest in a security.</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“directly or indirectly” sell securities means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 necessary participant, or substantial factor, in the sale or offer to sell that [</w:t>
      </w:r>
      <w:r w:rsidRPr="00681690">
        <w:rPr>
          <w:rFonts w:ascii="Times New Roman" w:eastAsia="Arial" w:hAnsi="Times New Roman" w:cs="Times New Roman"/>
          <w:sz w:val="28"/>
          <w:szCs w:val="28"/>
          <w:u w:val="single"/>
        </w:rPr>
        <w:t xml:space="preserve">name of </w:t>
      </w:r>
      <w:r w:rsidRPr="00681690">
        <w:rPr>
          <w:rFonts w:ascii="Times New Roman" w:eastAsia="Arial" w:hAnsi="Times New Roman" w:cs="Times New Roman"/>
          <w:sz w:val="28"/>
          <w:szCs w:val="28"/>
          <w:u w:val="single"/>
        </w:rPr>
        <w:lastRenderedPageBreak/>
        <w:t>plaintiff</w:t>
      </w:r>
      <w:r w:rsidRPr="00681690">
        <w:rPr>
          <w:rFonts w:ascii="Times New Roman" w:eastAsia="Arial" w:hAnsi="Times New Roman" w:cs="Times New Roman"/>
          <w:sz w:val="28"/>
          <w:szCs w:val="28"/>
        </w:rPr>
        <w:t>] claims is in violation of Securities Act § 5.</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may be a “necessary participant” or “substantial factor” in the sale of securities if, for example, [he/she/it] employs or directs others to sell or offer securities, or plans the process by which unregistered securities are offered or sold.</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satisfy this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isn’t required to show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direct contact with any of the investors, including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who purchased the securities at issue.</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who sells unregistered securities violates Securities Act § 5 regardless of whether the violation was committed knowingly, intentionally, recklessly, or negligently.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good-faith belief that the sale was legal, and [his/her/its] reliance on the advice of counsel, aren’t defenses to a violation of Securities Act § 5.</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 of transportation or communication in interstate commerce in connection with the sale or offer of sale of the securities.</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“Instrument of transportation or communication in interstate commerce” means to the use of the mails, telephone, Internet, or some other form of electronic communication, [or] an interstate delivery system such as Federal Express or UPS [, or an inter-dealer electronic-quotation-and-trading system in the over-the-counter </w:t>
      </w:r>
      <w:r w:rsidRPr="00681690">
        <w:rPr>
          <w:rFonts w:ascii="Times New Roman" w:eastAsia="Arial" w:hAnsi="Times New Roman" w:cs="Times New Roman"/>
          <w:sz w:val="28"/>
          <w:szCs w:val="28"/>
        </w:rPr>
        <w:lastRenderedPageBreak/>
        <w:t>securities market].</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“facility of a national securities exchange” may include a computer-trading program or an online discount brokerage service.]</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third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the securities at issue weren’t registered. [In this case, the securities weren’t registered.]</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proved these three elements by a preponderance of the evidence, the burden shifts to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to prove by a preponderance of the evidence that the offer or sale of the securities at issue were exempt from the Securities Act’s registration requirements. I’ll determine how to proceed on the exemption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claims.</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proved one or more of its claims against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[he/she/it] suffered damage.</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a claim under § 12</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4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a plaintiff who has established a violation of § 5 is entitled to recover [the amount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paid for the security, with interest, minus the amount of any income received upon tender of such security or] for damages equal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actual loss if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no longer owns the security.</w:t>
      </w:r>
    </w:p>
    <w:p w:rsidR="003A4957" w:rsidRPr="0075336F" w:rsidRDefault="003A4957" w:rsidP="00E47E17">
      <w:pPr>
        <w:pBdr>
          <w:bottom w:val="single" w:sz="12" w:space="1" w:color="auto"/>
        </w:pBdr>
        <w:spacing w:after="240" w:line="240" w:lineRule="auto"/>
        <w:jc w:val="center"/>
        <w:rPr>
          <w:rFonts w:ascii="Times New Roman" w:eastAsia="Arial" w:hAnsi="Times New Roman" w:cs="Times New Roman"/>
          <w:b/>
          <w:smallCaps/>
          <w:sz w:val="28"/>
          <w:szCs w:val="28"/>
        </w:rPr>
      </w:pPr>
      <w:r w:rsidRPr="0075336F">
        <w:rPr>
          <w:rFonts w:ascii="Times New Roman" w:eastAsia="Arial" w:hAnsi="Times New Roman" w:cs="Times New Roman"/>
          <w:b/>
          <w:smallCaps/>
          <w:sz w:val="28"/>
          <w:szCs w:val="28"/>
        </w:rPr>
        <w:t>Special Interrogatories to the Jury</w:t>
      </w:r>
    </w:p>
    <w:p w:rsidR="003A4957" w:rsidRPr="00330BF0" w:rsidRDefault="003A4957" w:rsidP="00E47E17">
      <w:pPr>
        <w:spacing w:after="0" w:line="480" w:lineRule="auto"/>
        <w:ind w:right="720" w:firstLine="720"/>
        <w:jc w:val="both"/>
        <w:rPr>
          <w:rFonts w:ascii="Times New Roman" w:eastAsia="Arial" w:hAnsi="Times New Roman" w:cs="Times New Roman"/>
          <w:b/>
          <w:sz w:val="28"/>
          <w:szCs w:val="28"/>
        </w:rPr>
      </w:pPr>
      <w:r w:rsidRPr="00330BF0">
        <w:rPr>
          <w:rFonts w:ascii="Times New Roman" w:eastAsia="Arial" w:hAnsi="Times New Roman" w:cs="Times New Roman"/>
          <w:b/>
          <w:sz w:val="28"/>
          <w:szCs w:val="28"/>
        </w:rPr>
        <w:t>Do you find from a preponderance of the evidence:</w:t>
      </w:r>
    </w:p>
    <w:p w:rsidR="003A4957" w:rsidRPr="00681690" w:rsidRDefault="003A4957" w:rsidP="00E47E17">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fldChar w:fldCharType="begin"/>
      </w:r>
      <w:r w:rsidRPr="00681690">
        <w:rPr>
          <w:rFonts w:ascii="Times New Roman" w:eastAsia="Arial" w:hAnsi="Times New Roman" w:cs="Times New Roman"/>
          <w:sz w:val="28"/>
          <w:szCs w:val="28"/>
        </w:rPr>
        <w:instrText xml:space="preserve"> LISTNUM  LegalDefault \l 1 \s 1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directly or indirectly sold [or offered to sell] securities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w:t>
      </w:r>
    </w:p>
    <w:p w:rsidR="003A4957" w:rsidRPr="00681690" w:rsidRDefault="003A4957" w:rsidP="00E47E17">
      <w:pPr>
        <w:spacing w:after="240"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3A4957" w:rsidRPr="00681690" w:rsidRDefault="003A4957" w:rsidP="00E47E17">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2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 of transportation or communication in interstate commerce” in connection with the sale of [or offer to sell] securities?</w:t>
      </w:r>
    </w:p>
    <w:p w:rsidR="003A4957" w:rsidRPr="00681690" w:rsidRDefault="003A4957" w:rsidP="00E47E17">
      <w:pPr>
        <w:spacing w:after="240"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3A4957" w:rsidRPr="00681690" w:rsidRDefault="003A4957" w:rsidP="00E47E17">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3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a registration statement for the securities was not in effect?</w:t>
      </w:r>
    </w:p>
    <w:p w:rsidR="003A4957" w:rsidRPr="00681690" w:rsidRDefault="003A4957" w:rsidP="00E47E17">
      <w:pPr>
        <w:spacing w:after="240"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3A4957" w:rsidRPr="00681690" w:rsidRDefault="003A4957" w:rsidP="00E47E17">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has established that an exemption from registration applied to the sale of [or offer to sell] the securities?</w:t>
      </w:r>
    </w:p>
    <w:p w:rsidR="003A4957" w:rsidRPr="00681690" w:rsidRDefault="003A4957" w:rsidP="00E47E17">
      <w:pPr>
        <w:spacing w:after="240"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3A4957" w:rsidRPr="00681690" w:rsidRDefault="003A4957" w:rsidP="00E47E17">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[NOTE: If your answer is “Yes,” your foreperson should sign and date the last page of this verdict form. You are not required to answer Question No. 5. If your answer is “No,” go to the next question.]</w:t>
      </w:r>
    </w:p>
    <w:p w:rsidR="003A4957" w:rsidRPr="00681690" w:rsidRDefault="003A4957" w:rsidP="00E47E17">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w:t>
      </w:r>
    </w:p>
    <w:p w:rsidR="003A4957" w:rsidRPr="00681690" w:rsidRDefault="003A4957" w:rsidP="00E47E17">
      <w:pPr>
        <w:spacing w:after="240"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3A4957" w:rsidRPr="00681690" w:rsidRDefault="003A4957" w:rsidP="003A4957">
      <w:pPr>
        <w:spacing w:after="0" w:line="24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“Yes,”</w:t>
      </w:r>
    </w:p>
    <w:p w:rsidR="003A4957" w:rsidRPr="00681690" w:rsidRDefault="003A4957" w:rsidP="00E47E17">
      <w:pPr>
        <w:spacing w:after="0" w:line="48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what amount?</w:t>
      </w:r>
      <w:r w:rsidRPr="00681690">
        <w:rPr>
          <w:rFonts w:ascii="Times New Roman" w:eastAsia="Arial" w:hAnsi="Times New Roman" w:cs="Times New Roman"/>
          <w:sz w:val="28"/>
          <w:szCs w:val="28"/>
        </w:rPr>
        <w:tab/>
        <w:t xml:space="preserve"> </w:t>
      </w:r>
      <w:r w:rsidRPr="00681690">
        <w:rPr>
          <w:rFonts w:ascii="Times New Roman" w:eastAsia="Arial" w:hAnsi="Times New Roman" w:cs="Times New Roman"/>
          <w:sz w:val="28"/>
          <w:szCs w:val="28"/>
        </w:rPr>
        <w:tab/>
        <w:t>$_____________</w:t>
      </w:r>
    </w:p>
    <w:p w:rsidR="003A4957" w:rsidRPr="00681690" w:rsidRDefault="003A4957" w:rsidP="00E47E17">
      <w:pPr>
        <w:spacing w:after="0" w:line="240" w:lineRule="auto"/>
        <w:ind w:left="720"/>
        <w:jc w:val="both"/>
        <w:rPr>
          <w:rFonts w:ascii="Times New Roman" w:eastAsia="Arial" w:hAnsi="Times New Roman" w:cs="Times New Roman"/>
          <w:smallCaps/>
          <w:sz w:val="28"/>
          <w:szCs w:val="28"/>
        </w:rPr>
      </w:pPr>
      <w:r w:rsidRPr="00681690">
        <w:rPr>
          <w:rFonts w:ascii="Times New Roman" w:eastAsia="Arial" w:hAnsi="Times New Roman" w:cs="Times New Roman"/>
          <w:smallCaps/>
          <w:sz w:val="28"/>
          <w:szCs w:val="28"/>
        </w:rPr>
        <w:t>So Say We All.</w:t>
      </w:r>
    </w:p>
    <w:p w:rsidR="003A4957" w:rsidRPr="00681690" w:rsidRDefault="003A4957" w:rsidP="00E47E17">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___________________________</w:t>
      </w:r>
    </w:p>
    <w:p w:rsidR="003A4957" w:rsidRPr="00681690" w:rsidRDefault="003A4957" w:rsidP="00E47E17">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Foreperson’s Signature</w:t>
      </w:r>
    </w:p>
    <w:p w:rsidR="00725167" w:rsidRPr="003A4957" w:rsidRDefault="003A4957" w:rsidP="00E47E17">
      <w:pPr>
        <w:spacing w:after="0" w:line="24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mallCaps/>
          <w:sz w:val="28"/>
          <w:szCs w:val="28"/>
        </w:rPr>
        <w:t>Date</w:t>
      </w:r>
      <w:r w:rsidRPr="00681690">
        <w:rPr>
          <w:rFonts w:ascii="Times New Roman" w:eastAsia="Arial" w:hAnsi="Times New Roman" w:cs="Times New Roman"/>
          <w:sz w:val="28"/>
          <w:szCs w:val="28"/>
        </w:rPr>
        <w:t>: ___________________</w:t>
      </w:r>
    </w:p>
    <w:sectPr w:rsidR="00725167" w:rsidRPr="003A4957" w:rsidSect="00E6026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6DE" w:rsidRDefault="00B706DE" w:rsidP="00B706DE">
      <w:pPr>
        <w:spacing w:after="0" w:line="240" w:lineRule="auto"/>
      </w:pPr>
      <w:r>
        <w:separator/>
      </w:r>
    </w:p>
  </w:endnote>
  <w:endnote w:type="continuationSeparator" w:id="0">
    <w:p w:rsidR="00B706DE" w:rsidRDefault="00B706DE" w:rsidP="00B70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6DE" w:rsidRDefault="00B706DE" w:rsidP="00B706DE">
      <w:pPr>
        <w:spacing w:after="0" w:line="240" w:lineRule="auto"/>
      </w:pPr>
      <w:r>
        <w:separator/>
      </w:r>
    </w:p>
  </w:footnote>
  <w:footnote w:type="continuationSeparator" w:id="0">
    <w:p w:rsidR="00B706DE" w:rsidRDefault="00B706DE" w:rsidP="00B706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1A"/>
    <w:rsid w:val="00014B03"/>
    <w:rsid w:val="000562CA"/>
    <w:rsid w:val="00063534"/>
    <w:rsid w:val="001B5EDD"/>
    <w:rsid w:val="001D1C8B"/>
    <w:rsid w:val="001F65C4"/>
    <w:rsid w:val="0024704F"/>
    <w:rsid w:val="00287B88"/>
    <w:rsid w:val="002F17C0"/>
    <w:rsid w:val="00391B06"/>
    <w:rsid w:val="003A4957"/>
    <w:rsid w:val="004441EE"/>
    <w:rsid w:val="004A301A"/>
    <w:rsid w:val="00620C71"/>
    <w:rsid w:val="00652BA3"/>
    <w:rsid w:val="006A2BE2"/>
    <w:rsid w:val="006B2CC1"/>
    <w:rsid w:val="00725167"/>
    <w:rsid w:val="0081575C"/>
    <w:rsid w:val="008872FA"/>
    <w:rsid w:val="00AD0927"/>
    <w:rsid w:val="00B4168B"/>
    <w:rsid w:val="00B706DE"/>
    <w:rsid w:val="00B845B3"/>
    <w:rsid w:val="00B966EE"/>
    <w:rsid w:val="00C4295E"/>
    <w:rsid w:val="00CD564C"/>
    <w:rsid w:val="00D0772E"/>
    <w:rsid w:val="00DC18AE"/>
    <w:rsid w:val="00E47E17"/>
    <w:rsid w:val="00E60260"/>
    <w:rsid w:val="00E70797"/>
    <w:rsid w:val="00EC4621"/>
    <w:rsid w:val="00EF162B"/>
    <w:rsid w:val="00F54B37"/>
    <w:rsid w:val="00F92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B70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6DE"/>
  </w:style>
  <w:style w:type="paragraph" w:styleId="Footer">
    <w:name w:val="footer"/>
    <w:basedOn w:val="Normal"/>
    <w:link w:val="FooterChar"/>
    <w:uiPriority w:val="99"/>
    <w:unhideWhenUsed/>
    <w:rsid w:val="00B70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B70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6DE"/>
  </w:style>
  <w:style w:type="paragraph" w:styleId="Footer">
    <w:name w:val="footer"/>
    <w:basedOn w:val="Normal"/>
    <w:link w:val="FooterChar"/>
    <w:uiPriority w:val="99"/>
    <w:unhideWhenUsed/>
    <w:rsid w:val="00B70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1052</Words>
  <Characters>6003</Characters>
  <Application>Microsoft Office Word</Application>
  <DocSecurity>0</DocSecurity>
  <Lines>50</Lines>
  <Paragraphs>14</Paragraphs>
  <ScaleCrop>false</ScaleCrop>
  <LinksUpToDate>false</LinksUpToDate>
  <CharactersWithSpaces>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2014-04-30T02:36:00Z</dcterms:created>
  <dcterms:modified xsi:type="dcterms:W3CDTF">2014-06-20T23:43:00Z</dcterms:modified>
</cp:coreProperties>
</file>