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70" w:rsidRDefault="00E83270" w:rsidP="00333E84">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E83270" w:rsidRDefault="00E83270" w:rsidP="00333E8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registration requirements under Section 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77e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77e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are transaction-specific; each offer or sale of a security must either be registered or qualify for a particular exemption. </w:t>
      </w:r>
      <w:r w:rsidRPr="000B6604">
        <w:rPr>
          <w:rFonts w:ascii="Times New Roman" w:eastAsia="Arial" w:hAnsi="Times New Roman" w:cs="Times New Roman"/>
          <w:i/>
          <w:sz w:val="26"/>
          <w:szCs w:val="26"/>
        </w:rPr>
        <w:t>SEC v. Cavanaugh</w:t>
      </w:r>
      <w:r w:rsidRPr="000B6604">
        <w:rPr>
          <w:rFonts w:ascii="Times New Roman" w:eastAsia="Arial" w:hAnsi="Times New Roman" w:cs="Times New Roman"/>
          <w:sz w:val="26"/>
          <w:szCs w:val="26"/>
        </w:rPr>
        <w:t>, 155 F.3d 129, 133 (</w:t>
      </w:r>
      <w:r>
        <w:rPr>
          <w:rFonts w:ascii="Times New Roman" w:eastAsia="Arial" w:hAnsi="Times New Roman" w:cs="Times New Roman"/>
          <w:sz w:val="26"/>
          <w:szCs w:val="26"/>
        </w:rPr>
        <w:t>2</w:t>
      </w:r>
      <w:r w:rsidRPr="000B6604">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1998) Thus, a particular offer or sale of a security may qualify for an exemption, but the subsequent resale of that same security may not qualify for any exemption.</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F67302">
        <w:rPr>
          <w:rFonts w:ascii="Times New Roman" w:eastAsia="Arial" w:hAnsi="Times New Roman" w:cs="Times New Roman"/>
          <w:i/>
          <w:sz w:val="26"/>
          <w:szCs w:val="26"/>
        </w:rPr>
        <w:t>SEC v. Continental Tobacco Co.</w:t>
      </w:r>
      <w:r w:rsidRPr="00186218">
        <w:rPr>
          <w:rFonts w:ascii="Times New Roman" w:eastAsia="Arial" w:hAnsi="Times New Roman" w:cs="Times New Roman"/>
          <w:sz w:val="26"/>
          <w:szCs w:val="26"/>
        </w:rPr>
        <w:t>, 463 F.2d 137, 155 (</w:t>
      </w:r>
      <w:r>
        <w:rPr>
          <w:rFonts w:ascii="Times New Roman" w:eastAsia="Arial" w:hAnsi="Times New Roman" w:cs="Times New Roman"/>
          <w:sz w:val="26"/>
          <w:szCs w:val="26"/>
        </w:rPr>
        <w:t>5</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1972); </w:t>
      </w:r>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Calvo</w:t>
      </w:r>
      <w:proofErr w:type="spellEnd"/>
      <w:r w:rsidRPr="00186218">
        <w:rPr>
          <w:rFonts w:ascii="Times New Roman" w:eastAsia="Arial" w:hAnsi="Times New Roman" w:cs="Times New Roman"/>
          <w:sz w:val="26"/>
          <w:szCs w:val="26"/>
        </w:rPr>
        <w:t>, 378 F.3d 1211, 1214 (</w:t>
      </w:r>
      <w:r>
        <w:rPr>
          <w:rFonts w:ascii="Times New Roman" w:eastAsia="Arial" w:hAnsi="Times New Roman" w:cs="Times New Roman"/>
          <w:sz w:val="26"/>
          <w:szCs w:val="26"/>
        </w:rPr>
        <w:t>11</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2004); </w:t>
      </w:r>
      <w:r w:rsidRPr="00F67302">
        <w:rPr>
          <w:rFonts w:ascii="Times New Roman" w:eastAsia="Arial" w:hAnsi="Times New Roman" w:cs="Times New Roman"/>
          <w:i/>
          <w:sz w:val="26"/>
          <w:szCs w:val="26"/>
        </w:rPr>
        <w:t>SEC v. Ralston Purina Co.</w:t>
      </w:r>
      <w:r w:rsidRPr="00186218">
        <w:rPr>
          <w:rFonts w:ascii="Times New Roman" w:eastAsia="Arial" w:hAnsi="Times New Roman" w:cs="Times New Roman"/>
          <w:sz w:val="26"/>
          <w:szCs w:val="26"/>
        </w:rPr>
        <w:t xml:space="preserve">, 346 U.S. 119, 126 (1953); </w:t>
      </w:r>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Holschuh</w:t>
      </w:r>
      <w:proofErr w:type="spellEnd"/>
      <w:r w:rsidRPr="00186218">
        <w:rPr>
          <w:rFonts w:ascii="Times New Roman" w:eastAsia="Arial" w:hAnsi="Times New Roman" w:cs="Times New Roman"/>
          <w:sz w:val="26"/>
          <w:szCs w:val="26"/>
        </w:rPr>
        <w:t>, 694, F.2d 130, 139-40 (</w:t>
      </w:r>
      <w:r>
        <w:rPr>
          <w:rFonts w:ascii="Times New Roman" w:eastAsia="Arial" w:hAnsi="Times New Roman" w:cs="Times New Roman"/>
          <w:sz w:val="26"/>
          <w:szCs w:val="26"/>
        </w:rPr>
        <w:t>7</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1982)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Defendants have been held liable [under Section 5] where they have been a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necessary participant</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and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substantial factor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in the offer and sale of unregistered securities</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sidRPr="00F67302">
        <w:rPr>
          <w:rFonts w:ascii="Times New Roman" w:eastAsia="Arial" w:hAnsi="Times New Roman" w:cs="Times New Roman"/>
          <w:i/>
          <w:sz w:val="26"/>
          <w:szCs w:val="26"/>
        </w:rPr>
        <w:t>SEC v. Murphy</w:t>
      </w:r>
      <w:r w:rsidRPr="00186218">
        <w:rPr>
          <w:rFonts w:ascii="Times New Roman" w:eastAsia="Arial" w:hAnsi="Times New Roman" w:cs="Times New Roman"/>
          <w:sz w:val="26"/>
          <w:szCs w:val="26"/>
        </w:rPr>
        <w:t>, 626 F.2d 633, 649-52 (</w:t>
      </w:r>
      <w:r>
        <w:rPr>
          <w:rFonts w:ascii="Times New Roman" w:eastAsia="Arial" w:hAnsi="Times New Roman" w:cs="Times New Roman"/>
          <w:sz w:val="26"/>
          <w:szCs w:val="26"/>
        </w:rPr>
        <w:t>9</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1980) (same); </w:t>
      </w:r>
      <w:r w:rsidRPr="00F67302">
        <w:rPr>
          <w:rFonts w:ascii="Times New Roman" w:eastAsia="Arial" w:hAnsi="Times New Roman" w:cs="Times New Roman"/>
          <w:i/>
          <w:sz w:val="26"/>
          <w:szCs w:val="26"/>
        </w:rPr>
        <w:t>SEC v. Friendly Power Co., LLC</w:t>
      </w:r>
      <w:r w:rsidRPr="00186218">
        <w:rPr>
          <w:rFonts w:ascii="Times New Roman" w:eastAsia="Arial" w:hAnsi="Times New Roman" w:cs="Times New Roman"/>
          <w:sz w:val="26"/>
          <w:szCs w:val="26"/>
        </w:rPr>
        <w:t>, 49 F. Supp.</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2d 1363, 1371-72 (S.D. Fla. 1999) (defendant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has indirectly offered or sold that security to the public if he or it has employed or directed others to sell or offer them, or has conceived of and planned the scheme by which the unregistered securities were offered or sold.</w:t>
      </w:r>
      <w:r>
        <w:rPr>
          <w:rFonts w:ascii="Times New Roman" w:eastAsia="Arial" w:hAnsi="Times New Roman" w:cs="Times New Roman"/>
          <w:sz w:val="26"/>
          <w:szCs w:val="26"/>
        </w:rPr>
        <w:t>”</w:t>
      </w:r>
      <w:r w:rsidRPr="00186218">
        <w:rPr>
          <w:rFonts w:ascii="Times New Roman" w:eastAsia="Arial" w:hAnsi="Times New Roman" w:cs="Times New Roman"/>
          <w:sz w:val="26"/>
          <w:szCs w:val="26"/>
        </w:rPr>
        <w:t>)</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F67302">
        <w:rPr>
          <w:rFonts w:ascii="Times New Roman" w:eastAsia="Arial" w:hAnsi="Times New Roman" w:cs="Times New Roman"/>
          <w:i/>
          <w:sz w:val="26"/>
          <w:szCs w:val="26"/>
        </w:rPr>
        <w:t xml:space="preserve">United States v. </w:t>
      </w:r>
      <w:proofErr w:type="spellStart"/>
      <w:r w:rsidRPr="00F67302">
        <w:rPr>
          <w:rFonts w:ascii="Times New Roman" w:eastAsia="Arial" w:hAnsi="Times New Roman" w:cs="Times New Roman"/>
          <w:i/>
          <w:sz w:val="26"/>
          <w:szCs w:val="26"/>
        </w:rPr>
        <w:t>Wolfson</w:t>
      </w:r>
      <w:proofErr w:type="spellEnd"/>
      <w:r w:rsidRPr="00186218">
        <w:rPr>
          <w:rFonts w:ascii="Times New Roman" w:eastAsia="Arial" w:hAnsi="Times New Roman" w:cs="Times New Roman"/>
          <w:sz w:val="26"/>
          <w:szCs w:val="26"/>
        </w:rPr>
        <w:t>, 405 F.2d 779, 783-84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1968); </w:t>
      </w:r>
      <w:r w:rsidRPr="00815864">
        <w:rPr>
          <w:rFonts w:ascii="Times New Roman" w:eastAsia="Arial" w:hAnsi="Times New Roman" w:cs="Times New Roman"/>
          <w:i/>
          <w:sz w:val="26"/>
          <w:szCs w:val="26"/>
        </w:rPr>
        <w:t>SEC v. Lybrand</w:t>
      </w:r>
      <w:r w:rsidRPr="00186218">
        <w:rPr>
          <w:rFonts w:ascii="Times New Roman" w:eastAsia="Arial" w:hAnsi="Times New Roman" w:cs="Times New Roman"/>
          <w:sz w:val="26"/>
          <w:szCs w:val="26"/>
        </w:rPr>
        <w:t xml:space="preserve">, 200 F. Supp. 2d 384, 392 (S.D.N.Y. 2002); </w:t>
      </w:r>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Softpoint</w:t>
      </w:r>
      <w:proofErr w:type="spellEnd"/>
      <w:r w:rsidRPr="00F67302">
        <w:rPr>
          <w:rFonts w:ascii="Times New Roman" w:eastAsia="Arial" w:hAnsi="Times New Roman" w:cs="Times New Roman"/>
          <w:i/>
          <w:sz w:val="26"/>
          <w:szCs w:val="26"/>
        </w:rPr>
        <w:t>, Inc.</w:t>
      </w:r>
      <w:r w:rsidRPr="00186218">
        <w:rPr>
          <w:rFonts w:ascii="Times New Roman" w:eastAsia="Arial" w:hAnsi="Times New Roman" w:cs="Times New Roman"/>
          <w:sz w:val="26"/>
          <w:szCs w:val="26"/>
        </w:rPr>
        <w:t xml:space="preserve">, 958 F. Supp. 846, 861 (S.D.N.Y. 1997), </w:t>
      </w:r>
      <w:proofErr w:type="spellStart"/>
      <w:r w:rsidRPr="00B31A3A">
        <w:rPr>
          <w:rFonts w:ascii="Times New Roman" w:eastAsia="Arial" w:hAnsi="Times New Roman" w:cs="Times New Roman"/>
          <w:sz w:val="26"/>
          <w:szCs w:val="26"/>
        </w:rPr>
        <w:t>aff’d</w:t>
      </w:r>
      <w:proofErr w:type="spellEnd"/>
      <w:r w:rsidRPr="00186218">
        <w:rPr>
          <w:rFonts w:ascii="Times New Roman" w:eastAsia="Arial" w:hAnsi="Times New Roman" w:cs="Times New Roman"/>
          <w:sz w:val="26"/>
          <w:szCs w:val="26"/>
        </w:rPr>
        <w:t>, 159 F.3d 1348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1998). </w:t>
      </w:r>
      <w:proofErr w:type="gramStart"/>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Tuchinsky</w:t>
      </w:r>
      <w:proofErr w:type="spellEnd"/>
      <w:r w:rsidRPr="00186218">
        <w:rPr>
          <w:rFonts w:ascii="Times New Roman" w:eastAsia="Arial" w:hAnsi="Times New Roman" w:cs="Times New Roman"/>
          <w:sz w:val="26"/>
          <w:szCs w:val="26"/>
        </w:rPr>
        <w:t>, 1992 WL 226302, at *2 (S.D. Fla. June 29, 1992).</w:t>
      </w:r>
      <w:proofErr w:type="gramEnd"/>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sidRPr="00B31A3A">
        <w:rPr>
          <w:rFonts w:ascii="Times New Roman" w:eastAsia="Arial" w:hAnsi="Times New Roman" w:cs="Times New Roman"/>
          <w:sz w:val="26"/>
          <w:szCs w:val="26"/>
        </w:rPr>
        <w:t>see</w:t>
      </w:r>
      <w:r w:rsidRPr="00F67302">
        <w:rPr>
          <w:rFonts w:ascii="Times New Roman" w:eastAsia="Arial" w:hAnsi="Times New Roman" w:cs="Times New Roman"/>
          <w:i/>
          <w:sz w:val="26"/>
          <w:szCs w:val="26"/>
        </w:rPr>
        <w:t xml:space="preserve"> SEC v. Edwards</w:t>
      </w:r>
      <w:r w:rsidRPr="00186218">
        <w:rPr>
          <w:rFonts w:ascii="Times New Roman" w:eastAsia="Arial" w:hAnsi="Times New Roman" w:cs="Times New Roman"/>
          <w:sz w:val="26"/>
          <w:szCs w:val="26"/>
        </w:rPr>
        <w:t>, 540 U.S. 389 (2004) and Securities Act Section 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15 U.S.C.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77b</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issue of whether a particular investment is a security will depend largely on how the investment was portrayed to investors. </w:t>
      </w:r>
      <w:r w:rsidRPr="00F67302">
        <w:rPr>
          <w:rFonts w:ascii="Times New Roman" w:eastAsia="Arial" w:hAnsi="Times New Roman" w:cs="Times New Roman"/>
          <w:i/>
          <w:sz w:val="26"/>
          <w:szCs w:val="26"/>
        </w:rPr>
        <w:t>SEC v. Lauer</w:t>
      </w:r>
      <w:r w:rsidRPr="00186218">
        <w:rPr>
          <w:rFonts w:ascii="Times New Roman" w:eastAsia="Arial" w:hAnsi="Times New Roman" w:cs="Times New Roman"/>
          <w:sz w:val="26"/>
          <w:szCs w:val="26"/>
        </w:rPr>
        <w:t>, 52 F.3d 667, 670 (</w:t>
      </w:r>
      <w:r>
        <w:rPr>
          <w:rFonts w:ascii="Times New Roman" w:eastAsia="Arial" w:hAnsi="Times New Roman" w:cs="Times New Roman"/>
          <w:sz w:val="26"/>
          <w:szCs w:val="26"/>
        </w:rPr>
        <w:t>7</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1995)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[I]t is the representations made by the promoters, not their actual conduct, that determine whether an interest is an investment contract (or other security).</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is frequently a question of law for the court. </w:t>
      </w:r>
      <w:proofErr w:type="gramStart"/>
      <w:r w:rsidRPr="00F67302">
        <w:rPr>
          <w:rFonts w:ascii="Times New Roman" w:eastAsia="Arial" w:hAnsi="Times New Roman" w:cs="Times New Roman"/>
          <w:i/>
          <w:sz w:val="26"/>
          <w:szCs w:val="26"/>
        </w:rPr>
        <w:t>Robinson v. Glynn</w:t>
      </w:r>
      <w:r w:rsidRPr="00186218">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2003); </w:t>
      </w:r>
      <w:r w:rsidRPr="00F67302">
        <w:rPr>
          <w:rFonts w:ascii="Times New Roman" w:eastAsia="Arial" w:hAnsi="Times New Roman" w:cs="Times New Roman"/>
          <w:i/>
          <w:sz w:val="26"/>
          <w:szCs w:val="26"/>
        </w:rPr>
        <w:t>Ahrens v. American-Canadian Beaver Co.</w:t>
      </w:r>
      <w:r w:rsidRPr="00186218">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1970).</w:t>
      </w:r>
      <w:proofErr w:type="gramEnd"/>
      <w:r w:rsidRPr="00186218">
        <w:rPr>
          <w:rFonts w:ascii="Times New Roman" w:eastAsia="Arial" w:hAnsi="Times New Roman" w:cs="Times New Roman"/>
          <w:sz w:val="26"/>
          <w:szCs w:val="26"/>
        </w:rPr>
        <w:t xml:space="preserve"> If the court determines that the investment at issue is a security, it should so instruct the jury.</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 xml:space="preserve">[No advice of counsel defense; state of mind.] </w:t>
      </w:r>
      <w:r w:rsidRPr="00F67302">
        <w:rPr>
          <w:rFonts w:ascii="Times New Roman" w:eastAsia="Arial" w:hAnsi="Times New Roman" w:cs="Times New Roman"/>
          <w:i/>
          <w:sz w:val="26"/>
          <w:szCs w:val="26"/>
        </w:rPr>
        <w:t>SEC v. Universal Major Indus. Corp.</w:t>
      </w:r>
      <w:r w:rsidRPr="00186218">
        <w:rPr>
          <w:rFonts w:ascii="Times New Roman" w:eastAsia="Arial" w:hAnsi="Times New Roman" w:cs="Times New Roman"/>
          <w:sz w:val="26"/>
          <w:szCs w:val="26"/>
        </w:rPr>
        <w:t>, 546 F.2d 1044, 1047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1976); </w:t>
      </w:r>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Zubkis</w:t>
      </w:r>
      <w:proofErr w:type="spellEnd"/>
      <w:r w:rsidRPr="00186218">
        <w:rPr>
          <w:rFonts w:ascii="Times New Roman" w:eastAsia="Arial" w:hAnsi="Times New Roman" w:cs="Times New Roman"/>
          <w:sz w:val="26"/>
          <w:szCs w:val="26"/>
        </w:rPr>
        <w:t xml:space="preserve">, 2000 U.S. Dist. LEXIS 1865, at *17; </w:t>
      </w:r>
      <w:r w:rsidRPr="00F67302">
        <w:rPr>
          <w:rFonts w:ascii="Times New Roman" w:eastAsia="Arial" w:hAnsi="Times New Roman" w:cs="Times New Roman"/>
          <w:i/>
          <w:sz w:val="26"/>
          <w:szCs w:val="26"/>
        </w:rPr>
        <w:t>SEC v. Cavanagh</w:t>
      </w:r>
      <w:r w:rsidRPr="00186218">
        <w:rPr>
          <w:rFonts w:ascii="Times New Roman" w:eastAsia="Arial" w:hAnsi="Times New Roman" w:cs="Times New Roman"/>
          <w:sz w:val="26"/>
          <w:szCs w:val="26"/>
        </w:rPr>
        <w:t xml:space="preserve">, 1 F. Supp. 2d 337, 361 (S.D.N.Y.), </w:t>
      </w:r>
      <w:proofErr w:type="spellStart"/>
      <w:r w:rsidRPr="0063657C">
        <w:rPr>
          <w:rFonts w:ascii="Times New Roman" w:eastAsia="Arial" w:hAnsi="Times New Roman" w:cs="Times New Roman"/>
          <w:i/>
          <w:sz w:val="26"/>
          <w:szCs w:val="26"/>
        </w:rPr>
        <w:t>aff’d</w:t>
      </w:r>
      <w:proofErr w:type="spellEnd"/>
      <w:r w:rsidRPr="00186218">
        <w:rPr>
          <w:rFonts w:ascii="Times New Roman" w:eastAsia="Arial" w:hAnsi="Times New Roman" w:cs="Times New Roman"/>
          <w:sz w:val="26"/>
          <w:szCs w:val="26"/>
        </w:rPr>
        <w:t xml:space="preserve"> 155 F.3d 129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1998); </w:t>
      </w:r>
      <w:r w:rsidRPr="00F67302">
        <w:rPr>
          <w:rFonts w:ascii="Times New Roman" w:eastAsia="Arial" w:hAnsi="Times New Roman" w:cs="Times New Roman"/>
          <w:i/>
          <w:sz w:val="26"/>
          <w:szCs w:val="26"/>
        </w:rPr>
        <w:t>Howard v. SEC</w:t>
      </w:r>
      <w:r w:rsidRPr="00186218">
        <w:rPr>
          <w:rFonts w:ascii="Times New Roman" w:eastAsia="Arial" w:hAnsi="Times New Roman" w:cs="Times New Roman"/>
          <w:sz w:val="26"/>
          <w:szCs w:val="26"/>
        </w:rPr>
        <w:t xml:space="preserve">, 376 F.3d 1136, 1147-48 (D.C. Cir. 2004); </w:t>
      </w:r>
      <w:proofErr w:type="spellStart"/>
      <w:r w:rsidRPr="00F67302">
        <w:rPr>
          <w:rFonts w:ascii="Times New Roman" w:eastAsia="Arial" w:hAnsi="Times New Roman" w:cs="Times New Roman"/>
          <w:i/>
          <w:sz w:val="26"/>
          <w:szCs w:val="26"/>
        </w:rPr>
        <w:t>Bisno</w:t>
      </w:r>
      <w:proofErr w:type="spellEnd"/>
      <w:r w:rsidRPr="00F67302">
        <w:rPr>
          <w:rFonts w:ascii="Times New Roman" w:eastAsia="Arial" w:hAnsi="Times New Roman" w:cs="Times New Roman"/>
          <w:i/>
          <w:sz w:val="26"/>
          <w:szCs w:val="26"/>
        </w:rPr>
        <w:t xml:space="preserve"> v. United States</w:t>
      </w:r>
      <w:r w:rsidRPr="00186218">
        <w:rPr>
          <w:rFonts w:ascii="Times New Roman" w:eastAsia="Arial" w:hAnsi="Times New Roman" w:cs="Times New Roman"/>
          <w:sz w:val="26"/>
          <w:szCs w:val="26"/>
        </w:rPr>
        <w:t>, 299 F.2d 711, 719 (9th Cir. 1961).</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 xml:space="preserve">[No exemption available for scheme to evade.] </w:t>
      </w:r>
      <w:r w:rsidRPr="00F67302">
        <w:rPr>
          <w:rFonts w:ascii="Times New Roman" w:eastAsia="Arial" w:hAnsi="Times New Roman" w:cs="Times New Roman"/>
          <w:i/>
          <w:sz w:val="26"/>
          <w:szCs w:val="26"/>
        </w:rPr>
        <w:t xml:space="preserve">SEC v. </w:t>
      </w:r>
      <w:proofErr w:type="spellStart"/>
      <w:r w:rsidRPr="00F67302">
        <w:rPr>
          <w:rFonts w:ascii="Times New Roman" w:eastAsia="Arial" w:hAnsi="Times New Roman" w:cs="Times New Roman"/>
          <w:i/>
          <w:sz w:val="26"/>
          <w:szCs w:val="26"/>
        </w:rPr>
        <w:t>Parnes</w:t>
      </w:r>
      <w:proofErr w:type="spellEnd"/>
      <w:r w:rsidRPr="00186218">
        <w:rPr>
          <w:rFonts w:ascii="Times New Roman" w:eastAsia="Arial" w:hAnsi="Times New Roman" w:cs="Times New Roman"/>
          <w:sz w:val="26"/>
          <w:szCs w:val="26"/>
        </w:rPr>
        <w:t xml:space="preserve">, 2001 WL 1658275, at *7 (S.D.N.Y. Dec. 26, 2001); </w:t>
      </w:r>
      <w:r w:rsidRPr="00F67302">
        <w:rPr>
          <w:rFonts w:ascii="Times New Roman" w:eastAsia="Arial" w:hAnsi="Times New Roman" w:cs="Times New Roman"/>
          <w:i/>
          <w:sz w:val="26"/>
          <w:szCs w:val="26"/>
        </w:rPr>
        <w:t>Goodwin Properties, LLC v. Acadia Group, Inc.</w:t>
      </w:r>
      <w:r w:rsidRPr="00186218">
        <w:rPr>
          <w:rFonts w:ascii="Times New Roman" w:eastAsia="Arial" w:hAnsi="Times New Roman" w:cs="Times New Roman"/>
          <w:sz w:val="26"/>
          <w:szCs w:val="26"/>
        </w:rPr>
        <w:t xml:space="preserve">, 2001 WL 800064 at *6 </w:t>
      </w:r>
      <w:proofErr w:type="spellStart"/>
      <w:proofErr w:type="gramStart"/>
      <w:r w:rsidRPr="00186218">
        <w:rPr>
          <w:rFonts w:ascii="Times New Roman" w:eastAsia="Arial" w:hAnsi="Times New Roman" w:cs="Times New Roman"/>
          <w:sz w:val="26"/>
          <w:szCs w:val="26"/>
        </w:rPr>
        <w:t>fn</w:t>
      </w:r>
      <w:proofErr w:type="spellEnd"/>
      <w:proofErr w:type="gramEnd"/>
      <w:r w:rsidRPr="00186218">
        <w:rPr>
          <w:rFonts w:ascii="Times New Roman" w:eastAsia="Arial" w:hAnsi="Times New Roman" w:cs="Times New Roman"/>
          <w:sz w:val="26"/>
          <w:szCs w:val="26"/>
        </w:rPr>
        <w:t xml:space="preserve"> 2 (D. Me. July 17, 2001); Rule 144, Preliminary Note (17 C.F.R.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lastRenderedPageBreak/>
        <w:t xml:space="preserve">230.144). </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proofErr w:type="gramStart"/>
      <w:r w:rsidRPr="00186218">
        <w:rPr>
          <w:rFonts w:ascii="Times New Roman" w:eastAsia="Arial" w:hAnsi="Times New Roman" w:cs="Times New Roman"/>
          <w:sz w:val="26"/>
          <w:szCs w:val="26"/>
        </w:rPr>
        <w:t>[Burden of the Defendant to prove an exemption.]</w:t>
      </w:r>
      <w:proofErr w:type="gramEnd"/>
      <w:r w:rsidRPr="00186218">
        <w:rPr>
          <w:rFonts w:ascii="Times New Roman" w:eastAsia="Arial" w:hAnsi="Times New Roman" w:cs="Times New Roman"/>
          <w:sz w:val="26"/>
          <w:szCs w:val="26"/>
        </w:rPr>
        <w:t xml:space="preserve"> </w:t>
      </w:r>
      <w:proofErr w:type="spellStart"/>
      <w:r w:rsidRPr="00F67302">
        <w:rPr>
          <w:rFonts w:ascii="Times New Roman" w:eastAsia="Arial" w:hAnsi="Times New Roman" w:cs="Times New Roman"/>
          <w:i/>
          <w:sz w:val="26"/>
          <w:szCs w:val="26"/>
        </w:rPr>
        <w:t>Pennaluna</w:t>
      </w:r>
      <w:proofErr w:type="spellEnd"/>
      <w:r w:rsidRPr="00F67302">
        <w:rPr>
          <w:rFonts w:ascii="Times New Roman" w:eastAsia="Arial" w:hAnsi="Times New Roman" w:cs="Times New Roman"/>
          <w:i/>
          <w:sz w:val="26"/>
          <w:szCs w:val="26"/>
        </w:rPr>
        <w:t xml:space="preserve"> &amp; Co. v. SEC</w:t>
      </w:r>
      <w:r w:rsidRPr="00186218">
        <w:rPr>
          <w:rFonts w:ascii="Times New Roman" w:eastAsia="Arial" w:hAnsi="Times New Roman" w:cs="Times New Roman"/>
          <w:sz w:val="26"/>
          <w:szCs w:val="26"/>
        </w:rPr>
        <w:t>, 410 F.2d 861, 865 (</w:t>
      </w:r>
      <w:r>
        <w:rPr>
          <w:rFonts w:ascii="Times New Roman" w:eastAsia="Arial" w:hAnsi="Times New Roman" w:cs="Times New Roman"/>
          <w:sz w:val="26"/>
          <w:szCs w:val="26"/>
        </w:rPr>
        <w:t>9</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1969)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It is well recognized as a general proposition that one who claims an exemption from the broad registration requirement of Section 5 has the burden of proving that the exemption applies</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sidRPr="00F67302">
        <w:rPr>
          <w:rFonts w:ascii="Times New Roman" w:eastAsia="Arial" w:hAnsi="Times New Roman" w:cs="Times New Roman"/>
          <w:i/>
          <w:sz w:val="26"/>
          <w:szCs w:val="26"/>
        </w:rPr>
        <w:t>SEC v. Cavanagh</w:t>
      </w:r>
      <w:r w:rsidRPr="00186218">
        <w:rPr>
          <w:rFonts w:ascii="Times New Roman" w:eastAsia="Arial" w:hAnsi="Times New Roman" w:cs="Times New Roman"/>
          <w:sz w:val="26"/>
          <w:szCs w:val="26"/>
        </w:rPr>
        <w:t>, 155 F.3d 129, 133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Cir. 1998); </w:t>
      </w:r>
      <w:r w:rsidRPr="00F67302">
        <w:rPr>
          <w:rFonts w:ascii="Times New Roman" w:eastAsia="Arial" w:hAnsi="Times New Roman" w:cs="Times New Roman"/>
          <w:i/>
          <w:sz w:val="26"/>
          <w:szCs w:val="26"/>
        </w:rPr>
        <w:t>SEC v. Murphy</w:t>
      </w:r>
      <w:r w:rsidRPr="00186218">
        <w:rPr>
          <w:rFonts w:ascii="Times New Roman" w:eastAsia="Arial" w:hAnsi="Times New Roman" w:cs="Times New Roman"/>
          <w:sz w:val="26"/>
          <w:szCs w:val="26"/>
        </w:rPr>
        <w:t>, 626 F.2d 633, 640-41 (</w:t>
      </w:r>
      <w:r>
        <w:rPr>
          <w:rFonts w:ascii="Times New Roman" w:eastAsia="Arial" w:hAnsi="Times New Roman" w:cs="Times New Roman"/>
          <w:sz w:val="26"/>
          <w:szCs w:val="26"/>
        </w:rPr>
        <w:t>9</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1980).</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proofErr w:type="gramStart"/>
      <w:r w:rsidRPr="00186218">
        <w:rPr>
          <w:rFonts w:ascii="Times New Roman" w:eastAsia="Arial" w:hAnsi="Times New Roman" w:cs="Times New Roman"/>
          <w:sz w:val="26"/>
          <w:szCs w:val="26"/>
        </w:rPr>
        <w:t>[Exemptions from registration</w:t>
      </w:r>
      <w:r w:rsidR="00B31A3A">
        <w:rPr>
          <w:rFonts w:ascii="Times New Roman" w:eastAsia="Arial" w:hAnsi="Times New Roman" w:cs="Times New Roman"/>
          <w:sz w:val="26"/>
          <w:szCs w:val="26"/>
        </w:rPr>
        <w:t>.</w:t>
      </w:r>
      <w:r w:rsidRPr="00186218">
        <w:rPr>
          <w:rFonts w:ascii="Times New Roman" w:eastAsia="Arial" w:hAnsi="Times New Roman" w:cs="Times New Roman"/>
          <w:sz w:val="26"/>
          <w:szCs w:val="26"/>
        </w:rPr>
        <w:t>]</w:t>
      </w:r>
      <w:proofErr w:type="gramEnd"/>
      <w:r w:rsidRPr="00186218">
        <w:rPr>
          <w:rFonts w:ascii="Times New Roman" w:eastAsia="Arial" w:hAnsi="Times New Roman" w:cs="Times New Roman"/>
          <w:sz w:val="26"/>
          <w:szCs w:val="26"/>
        </w:rPr>
        <w:t xml:space="preserve"> In cases where the Defendant contends that an exemption from registration applies, this instruction should be amended to address the particular exemption(s) at issue. While not an exhaustive compilation of potential exemptions, the following discusses some of the more commonly-asserted exemptions.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77d</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exempts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transactions by any person other than an issuer, underwriter or dealer.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This exemption is intended to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exempt only trading transactions between individual investors with respect to securities already issued</w:t>
      </w:r>
      <w:r>
        <w:rPr>
          <w:rFonts w:ascii="Times New Roman" w:eastAsia="Arial" w:hAnsi="Times New Roman" w:cs="Times New Roman"/>
          <w:sz w:val="26"/>
          <w:szCs w:val="26"/>
        </w:rPr>
        <w:t xml:space="preserve">…” </w:t>
      </w:r>
      <w:proofErr w:type="gramStart"/>
      <w:r w:rsidRPr="00F67302">
        <w:rPr>
          <w:rFonts w:ascii="Times New Roman" w:eastAsia="Arial" w:hAnsi="Times New Roman" w:cs="Times New Roman"/>
          <w:i/>
          <w:sz w:val="26"/>
          <w:szCs w:val="26"/>
        </w:rPr>
        <w:t>SEC v. Culpepper</w:t>
      </w:r>
      <w:r w:rsidRPr="00186218">
        <w:rPr>
          <w:rFonts w:ascii="Times New Roman" w:eastAsia="Arial" w:hAnsi="Times New Roman" w:cs="Times New Roman"/>
          <w:sz w:val="26"/>
          <w:szCs w:val="26"/>
        </w:rPr>
        <w:t>, 270 F.2d 241, 247 (</w:t>
      </w:r>
      <w:r>
        <w:rPr>
          <w:rFonts w:ascii="Times New Roman" w:eastAsia="Arial" w:hAnsi="Times New Roman" w:cs="Times New Roman"/>
          <w:sz w:val="26"/>
          <w:szCs w:val="26"/>
        </w:rPr>
        <w:t>2</w:t>
      </w:r>
      <w:r w:rsidRPr="00F67302">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1959).</w:t>
      </w:r>
      <w:proofErr w:type="gramEnd"/>
      <w:r w:rsidRPr="00186218">
        <w:rPr>
          <w:rFonts w:ascii="Times New Roman" w:eastAsia="Arial" w:hAnsi="Times New Roman" w:cs="Times New Roman"/>
          <w:sz w:val="26"/>
          <w:szCs w:val="26"/>
        </w:rPr>
        <w:t xml:space="preserve"> Generally, an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is a person who purchases a security from an issuer, or a person controlled by the issuer, with a view towards distribution. </w:t>
      </w:r>
      <w:proofErr w:type="gramStart"/>
      <w:r w:rsidRPr="00186218">
        <w:rPr>
          <w:rFonts w:ascii="Times New Roman" w:eastAsia="Arial" w:hAnsi="Times New Roman" w:cs="Times New Roman"/>
          <w:sz w:val="26"/>
          <w:szCs w:val="26"/>
        </w:rPr>
        <w:t xml:space="preserve">15 U.S.C. </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77b</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w:t>
      </w:r>
      <w:proofErr w:type="gramEnd"/>
      <w:r w:rsidRPr="00186218">
        <w:rPr>
          <w:rFonts w:ascii="Times New Roman" w:eastAsia="Arial" w:hAnsi="Times New Roman" w:cs="Times New Roman"/>
          <w:sz w:val="26"/>
          <w:szCs w:val="26"/>
        </w:rPr>
        <w:t xml:space="preserve"> The SEC promulgated Rule 144, 17 C.F.R.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230.144, to clarify the statutory definition of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for purposes of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w:t>
      </w:r>
      <w:proofErr w:type="gramStart"/>
      <w:r w:rsidRPr="00186218">
        <w:rPr>
          <w:rFonts w:ascii="Times New Roman" w:eastAsia="Arial" w:hAnsi="Times New Roman" w:cs="Times New Roman"/>
          <w:sz w:val="26"/>
          <w:szCs w:val="26"/>
        </w:rPr>
        <w:t>Preliminary Note to Rule 144.</w:t>
      </w:r>
      <w:proofErr w:type="gramEnd"/>
      <w:r w:rsidRPr="00186218">
        <w:rPr>
          <w:rFonts w:ascii="Times New Roman" w:eastAsia="Arial" w:hAnsi="Times New Roman" w:cs="Times New Roman"/>
          <w:sz w:val="26"/>
          <w:szCs w:val="26"/>
        </w:rPr>
        <w:t xml:space="preserve"> Rule 144 generally provides that an individual who is not affiliated with the issuer may sell securities without being considered to be an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if certain conditions are met. The Rule 144 safe harbor is not the exclusive means by which a seller of unregistered securities can establish that he or she is eligible for the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exemption. </w:t>
      </w:r>
      <w:proofErr w:type="gramStart"/>
      <w:r w:rsidRPr="00F67302">
        <w:rPr>
          <w:rFonts w:ascii="Times New Roman" w:eastAsia="Arial" w:hAnsi="Times New Roman" w:cs="Times New Roman"/>
          <w:i/>
          <w:sz w:val="26"/>
          <w:szCs w:val="26"/>
        </w:rPr>
        <w:t>SEC v. M&amp;A West, Inc.</w:t>
      </w:r>
      <w:r w:rsidRPr="00186218">
        <w:rPr>
          <w:rFonts w:ascii="Times New Roman" w:eastAsia="Arial" w:hAnsi="Times New Roman" w:cs="Times New Roman"/>
          <w:sz w:val="26"/>
          <w:szCs w:val="26"/>
        </w:rPr>
        <w:t>, 538 F.3d 1043, 1050 n.6 (</w:t>
      </w:r>
      <w:r>
        <w:rPr>
          <w:rFonts w:ascii="Times New Roman" w:eastAsia="Arial" w:hAnsi="Times New Roman" w:cs="Times New Roman"/>
          <w:sz w:val="26"/>
          <w:szCs w:val="26"/>
        </w:rPr>
        <w:t>9</w:t>
      </w:r>
      <w:r w:rsidRPr="00F6730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2008).</w:t>
      </w:r>
      <w:proofErr w:type="gramEnd"/>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Another commonly-asserted exemption is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77d</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which applies to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transactions by an issuer </w:t>
      </w:r>
      <w:r>
        <w:rPr>
          <w:rFonts w:ascii="Times New Roman" w:eastAsia="Arial" w:hAnsi="Times New Roman" w:cs="Times New Roman"/>
          <w:sz w:val="26"/>
          <w:szCs w:val="26"/>
        </w:rPr>
        <w:t>not involving a public offering</w:t>
      </w:r>
      <w:r w:rsidRPr="00186218">
        <w:rPr>
          <w:rFonts w:ascii="Times New Roman" w:eastAsia="Arial" w:hAnsi="Times New Roman" w:cs="Times New Roman"/>
          <w:sz w:val="26"/>
          <w:szCs w:val="26"/>
        </w:rPr>
        <w:t>.</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Although not defined in the Securities Act, a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non-public offering</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is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[a]n offering to those who are shown to be able to fend for themselves * * * * </w:t>
      </w:r>
      <w:proofErr w:type="gramStart"/>
      <w:r w:rsidRPr="00186218">
        <w:rPr>
          <w:rFonts w:ascii="Times New Roman" w:eastAsia="Arial" w:hAnsi="Times New Roman" w:cs="Times New Roman"/>
          <w:sz w:val="26"/>
          <w:szCs w:val="26"/>
        </w:rPr>
        <w:t>The</w:t>
      </w:r>
      <w:proofErr w:type="gramEnd"/>
      <w:r w:rsidRPr="00186218">
        <w:rPr>
          <w:rFonts w:ascii="Times New Roman" w:eastAsia="Arial" w:hAnsi="Times New Roman" w:cs="Times New Roman"/>
          <w:sz w:val="26"/>
          <w:szCs w:val="26"/>
        </w:rPr>
        <w:t xml:space="preserve"> focus of inquiry should be on the need of the </w:t>
      </w:r>
      <w:proofErr w:type="spellStart"/>
      <w:r w:rsidRPr="00186218">
        <w:rPr>
          <w:rFonts w:ascii="Times New Roman" w:eastAsia="Arial" w:hAnsi="Times New Roman" w:cs="Times New Roman"/>
          <w:sz w:val="26"/>
          <w:szCs w:val="26"/>
        </w:rPr>
        <w:t>offerees</w:t>
      </w:r>
      <w:proofErr w:type="spellEnd"/>
      <w:r w:rsidRPr="00186218">
        <w:rPr>
          <w:rFonts w:ascii="Times New Roman" w:eastAsia="Arial" w:hAnsi="Times New Roman" w:cs="Times New Roman"/>
          <w:sz w:val="26"/>
          <w:szCs w:val="26"/>
        </w:rPr>
        <w:t xml:space="preserve"> for the protections afforded by registration.</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proofErr w:type="gramStart"/>
      <w:r w:rsidRPr="00436DD6">
        <w:rPr>
          <w:rFonts w:ascii="Times New Roman" w:eastAsia="Arial" w:hAnsi="Times New Roman" w:cs="Times New Roman"/>
          <w:i/>
          <w:sz w:val="26"/>
          <w:szCs w:val="26"/>
        </w:rPr>
        <w:t>SEC v. Ralston Purina Co.</w:t>
      </w:r>
      <w:r w:rsidRPr="00186218">
        <w:rPr>
          <w:rFonts w:ascii="Times New Roman" w:eastAsia="Arial" w:hAnsi="Times New Roman" w:cs="Times New Roman"/>
          <w:sz w:val="26"/>
          <w:szCs w:val="26"/>
        </w:rPr>
        <w:t>, 346 U.S. 119, 125 (1953).</w:t>
      </w:r>
      <w:proofErr w:type="gramEnd"/>
      <w:r w:rsidRPr="00186218">
        <w:rPr>
          <w:rFonts w:ascii="Times New Roman" w:eastAsia="Arial" w:hAnsi="Times New Roman" w:cs="Times New Roman"/>
          <w:sz w:val="26"/>
          <w:szCs w:val="26"/>
        </w:rPr>
        <w:t xml:space="preserve"> Following </w:t>
      </w:r>
      <w:r w:rsidRPr="00436DD6">
        <w:rPr>
          <w:rFonts w:ascii="Times New Roman" w:eastAsia="Arial" w:hAnsi="Times New Roman" w:cs="Times New Roman"/>
          <w:i/>
          <w:sz w:val="26"/>
          <w:szCs w:val="26"/>
        </w:rPr>
        <w:t>Ralston Purina</w:t>
      </w:r>
      <w:r w:rsidRPr="00186218">
        <w:rPr>
          <w:rFonts w:ascii="Times New Roman" w:eastAsia="Arial" w:hAnsi="Times New Roman" w:cs="Times New Roman"/>
          <w:sz w:val="26"/>
          <w:szCs w:val="26"/>
        </w:rPr>
        <w:t xml:space="preserve">, courts have relied on four factors in determining whether an offering is a private placement: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number of </w:t>
      </w:r>
      <w:proofErr w:type="spellStart"/>
      <w:r w:rsidRPr="00186218">
        <w:rPr>
          <w:rFonts w:ascii="Times New Roman" w:eastAsia="Arial" w:hAnsi="Times New Roman" w:cs="Times New Roman"/>
          <w:sz w:val="26"/>
          <w:szCs w:val="26"/>
        </w:rPr>
        <w:t>offerees</w:t>
      </w:r>
      <w:proofErr w:type="spellEnd"/>
      <w:r w:rsidRPr="00186218">
        <w:rPr>
          <w:rFonts w:ascii="Times New Roman" w:eastAsia="Arial" w:hAnsi="Times New Roman" w:cs="Times New Roman"/>
          <w:sz w:val="26"/>
          <w:szCs w:val="26"/>
        </w:rPr>
        <w:t xml:space="preserve"> and their relationship to the issuer;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number of units offered;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size of the offering;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manner of the offering. </w:t>
      </w:r>
      <w:r w:rsidRPr="00436DD6">
        <w:rPr>
          <w:rFonts w:ascii="Times New Roman" w:eastAsia="Arial" w:hAnsi="Times New Roman" w:cs="Times New Roman"/>
          <w:i/>
          <w:sz w:val="26"/>
          <w:szCs w:val="26"/>
        </w:rPr>
        <w:t>See Doran v. Petroleum Management Corp.</w:t>
      </w:r>
      <w:r w:rsidRPr="00186218">
        <w:rPr>
          <w:rFonts w:ascii="Times New Roman" w:eastAsia="Arial" w:hAnsi="Times New Roman" w:cs="Times New Roman"/>
          <w:sz w:val="26"/>
          <w:szCs w:val="26"/>
        </w:rPr>
        <w:t xml:space="preserve">, </w:t>
      </w:r>
      <w:proofErr w:type="gramStart"/>
      <w:r w:rsidRPr="00186218">
        <w:rPr>
          <w:rFonts w:ascii="Times New Roman" w:eastAsia="Arial" w:hAnsi="Times New Roman" w:cs="Times New Roman"/>
          <w:sz w:val="26"/>
          <w:szCs w:val="26"/>
        </w:rPr>
        <w:t>545 F.2d 893, 900</w:t>
      </w:r>
      <w:proofErr w:type="gramEnd"/>
      <w:r w:rsidRPr="00186218">
        <w:rPr>
          <w:rFonts w:ascii="Times New Roman" w:eastAsia="Arial" w:hAnsi="Times New Roman" w:cs="Times New Roman"/>
          <w:sz w:val="26"/>
          <w:szCs w:val="26"/>
        </w:rPr>
        <w:t xml:space="preserve"> (</w:t>
      </w:r>
      <w:r>
        <w:rPr>
          <w:rFonts w:ascii="Times New Roman" w:eastAsia="Arial" w:hAnsi="Times New Roman" w:cs="Times New Roman"/>
          <w:sz w:val="26"/>
          <w:szCs w:val="26"/>
        </w:rPr>
        <w:t>5</w:t>
      </w:r>
      <w:r w:rsidRPr="00436D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Cir.1977). A person invoking this exemption must demonstrate that the offers or sales at issue do not constitut</w:t>
      </w:r>
      <w:r>
        <w:rPr>
          <w:rFonts w:ascii="Times New Roman" w:eastAsia="Arial" w:hAnsi="Times New Roman" w:cs="Times New Roman"/>
          <w:sz w:val="26"/>
          <w:szCs w:val="26"/>
        </w:rPr>
        <w:t xml:space="preserve">e a disguised public offering. </w:t>
      </w:r>
      <w:proofErr w:type="gramStart"/>
      <w:r w:rsidRPr="00436DD6">
        <w:rPr>
          <w:rFonts w:ascii="Times New Roman" w:eastAsia="Arial" w:hAnsi="Times New Roman" w:cs="Times New Roman"/>
          <w:i/>
          <w:sz w:val="26"/>
          <w:szCs w:val="26"/>
        </w:rPr>
        <w:t>SEC v. Cavanaugh</w:t>
      </w:r>
      <w:r w:rsidRPr="00186218">
        <w:rPr>
          <w:rFonts w:ascii="Times New Roman" w:eastAsia="Arial" w:hAnsi="Times New Roman" w:cs="Times New Roman"/>
          <w:sz w:val="26"/>
          <w:szCs w:val="26"/>
        </w:rPr>
        <w:t>, 1 F.</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Supp.</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2d 337, 368 (S.D.N.Y. 1998).</w:t>
      </w:r>
      <w:proofErr w:type="gramEnd"/>
      <w:r w:rsidRPr="00186218">
        <w:rPr>
          <w:rFonts w:ascii="Times New Roman" w:eastAsia="Arial" w:hAnsi="Times New Roman" w:cs="Times New Roman"/>
          <w:sz w:val="26"/>
          <w:szCs w:val="26"/>
        </w:rPr>
        <w:t xml:space="preserve"> Thus, the person invoking this exemption must, among other things, demonstrate that he or she took adequate precaution to ensure that the purchaser would not resell the security to the public, such as including a restrictive legend on the certificates for the securities. </w:t>
      </w:r>
      <w:r w:rsidRPr="00436DD6">
        <w:rPr>
          <w:rFonts w:ascii="Times New Roman" w:eastAsia="Arial" w:hAnsi="Times New Roman" w:cs="Times New Roman"/>
          <w:i/>
          <w:sz w:val="26"/>
          <w:szCs w:val="26"/>
        </w:rPr>
        <w:t>Interpretative Releases Relating to the Securities Act of 1933 and General Rules and Regulations Thereunder</w:t>
      </w:r>
      <w:r w:rsidRPr="00186218">
        <w:rPr>
          <w:rFonts w:ascii="Times New Roman" w:eastAsia="Arial" w:hAnsi="Times New Roman" w:cs="Times New Roman"/>
          <w:sz w:val="26"/>
          <w:szCs w:val="26"/>
        </w:rPr>
        <w:t>, Securities Act Release No. 5121, 1970 WL 116591 (Dec. 30, 1970)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It is essential that the issuer of the securities take careful precautions to assure </w:t>
      </w:r>
      <w:r w:rsidRPr="00186218">
        <w:rPr>
          <w:rFonts w:ascii="Times New Roman" w:eastAsia="Arial" w:hAnsi="Times New Roman" w:cs="Times New Roman"/>
          <w:sz w:val="26"/>
          <w:szCs w:val="26"/>
        </w:rPr>
        <w:lastRenderedPageBreak/>
        <w:t xml:space="preserve">that a public offering does not result through </w:t>
      </w:r>
      <w:proofErr w:type="spellStart"/>
      <w:r w:rsidRPr="00186218">
        <w:rPr>
          <w:rFonts w:ascii="Times New Roman" w:eastAsia="Arial" w:hAnsi="Times New Roman" w:cs="Times New Roman"/>
          <w:sz w:val="26"/>
          <w:szCs w:val="26"/>
        </w:rPr>
        <w:t>resales</w:t>
      </w:r>
      <w:proofErr w:type="spellEnd"/>
      <w:r w:rsidRPr="00186218">
        <w:rPr>
          <w:rFonts w:ascii="Times New Roman" w:eastAsia="Arial" w:hAnsi="Times New Roman" w:cs="Times New Roman"/>
          <w:sz w:val="26"/>
          <w:szCs w:val="26"/>
        </w:rPr>
        <w:t xml:space="preserve"> of securities purchased in transactions [exempt under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sidRPr="00436DD6">
        <w:rPr>
          <w:rFonts w:ascii="Times New Roman" w:eastAsia="Arial" w:hAnsi="Times New Roman" w:cs="Times New Roman"/>
          <w:i/>
          <w:sz w:val="26"/>
          <w:szCs w:val="26"/>
        </w:rPr>
        <w:t>Cavanaugh</w:t>
      </w:r>
      <w:r w:rsidRPr="00186218">
        <w:rPr>
          <w:rFonts w:ascii="Times New Roman" w:eastAsia="Arial" w:hAnsi="Times New Roman" w:cs="Times New Roman"/>
          <w:sz w:val="26"/>
          <w:szCs w:val="26"/>
        </w:rPr>
        <w:t>, 1 F. Supp.</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2d at 369.</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 xml:space="preserve">The SEC promulgated Regulation D to create a non-exclusive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safe harbor</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within the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exemption by defining certain transactions as non-public offerings. See 17 C.F.R.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230.501, </w:t>
      </w:r>
      <w:r w:rsidRPr="00436DD6">
        <w:rPr>
          <w:rFonts w:ascii="Times New Roman" w:eastAsia="Arial" w:hAnsi="Times New Roman" w:cs="Times New Roman"/>
          <w:i/>
          <w:sz w:val="26"/>
          <w:szCs w:val="26"/>
        </w:rPr>
        <w:t>et seq.</w:t>
      </w:r>
      <w:r w:rsidRPr="00186218">
        <w:rPr>
          <w:rFonts w:ascii="Times New Roman" w:eastAsia="Arial" w:hAnsi="Times New Roman" w:cs="Times New Roman"/>
          <w:sz w:val="26"/>
          <w:szCs w:val="26"/>
        </w:rPr>
        <w:t xml:space="preserve"> Rules 501 through 503 of Regulation D contain definitions, conditions, and other provisions that apply generally throughout Regulation D. Rules 504, 505 and 506 detail specific exemptions from registration. Rule 504 provides exemptions for companies that are not required to file periodic reports with the SEC for the offer and sale of up to $1,000,000 of securities in a 12-month period. Rule 505 exempts offers by companies of up to $5,000,000 of securities in a 12-month period, so long as offers are made without general solicitation or advertising. In determining whether the maximum offer or sale amounts have been satisfied, all sales by the issuer within a certain time period must be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integrated</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(that is, treated as one offering). </w:t>
      </w:r>
      <w:r w:rsidRPr="00436DD6">
        <w:rPr>
          <w:rFonts w:ascii="Times New Roman" w:eastAsia="Arial" w:hAnsi="Times New Roman" w:cs="Times New Roman"/>
          <w:i/>
          <w:sz w:val="26"/>
          <w:szCs w:val="26"/>
        </w:rPr>
        <w:t xml:space="preserve">Thompson v. </w:t>
      </w:r>
      <w:proofErr w:type="spellStart"/>
      <w:r w:rsidRPr="00436DD6">
        <w:rPr>
          <w:rFonts w:ascii="Times New Roman" w:eastAsia="Arial" w:hAnsi="Times New Roman" w:cs="Times New Roman"/>
          <w:i/>
          <w:sz w:val="26"/>
          <w:szCs w:val="26"/>
        </w:rPr>
        <w:t>RelationServe</w:t>
      </w:r>
      <w:proofErr w:type="spellEnd"/>
      <w:r w:rsidRPr="00436DD6">
        <w:rPr>
          <w:rFonts w:ascii="Times New Roman" w:eastAsia="Arial" w:hAnsi="Times New Roman" w:cs="Times New Roman"/>
          <w:i/>
          <w:sz w:val="26"/>
          <w:szCs w:val="26"/>
        </w:rPr>
        <w:t xml:space="preserve"> Media, Inc.</w:t>
      </w:r>
      <w:r w:rsidRPr="00186218">
        <w:rPr>
          <w:rFonts w:ascii="Times New Roman" w:eastAsia="Arial" w:hAnsi="Times New Roman" w:cs="Times New Roman"/>
          <w:sz w:val="26"/>
          <w:szCs w:val="26"/>
        </w:rPr>
        <w:t xml:space="preserve">, 610 F.3d 628, </w:t>
      </w:r>
      <w:proofErr w:type="gramStart"/>
      <w:r w:rsidRPr="00186218">
        <w:rPr>
          <w:rFonts w:ascii="Times New Roman" w:eastAsia="Arial" w:hAnsi="Times New Roman" w:cs="Times New Roman"/>
          <w:sz w:val="26"/>
          <w:szCs w:val="26"/>
        </w:rPr>
        <w:t>642 n.5 (</w:t>
      </w:r>
      <w:r>
        <w:rPr>
          <w:rFonts w:ascii="Times New Roman" w:eastAsia="Arial" w:hAnsi="Times New Roman" w:cs="Times New Roman"/>
          <w:sz w:val="26"/>
          <w:szCs w:val="26"/>
        </w:rPr>
        <w:t>11</w:t>
      </w:r>
      <w:r w:rsidRPr="00436D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Cir. 2010)</w:t>
      </w:r>
      <w:proofErr w:type="gramEnd"/>
      <w:r w:rsidRPr="00186218">
        <w:rPr>
          <w:rFonts w:ascii="Times New Roman" w:eastAsia="Arial" w:hAnsi="Times New Roman" w:cs="Times New Roman"/>
          <w:sz w:val="26"/>
          <w:szCs w:val="26"/>
        </w:rPr>
        <w:t xml:space="preserve">. Rule 506 provides an exemption without any limit on the amount offered or sold, so long as offers are made without general solicitation or advertising and sales are made only to investors that meet certain qualifications. </w:t>
      </w:r>
      <w:r w:rsidRPr="00436DD6">
        <w:rPr>
          <w:rFonts w:ascii="Times New Roman" w:eastAsia="Arial" w:hAnsi="Times New Roman" w:cs="Times New Roman"/>
          <w:i/>
          <w:sz w:val="26"/>
          <w:szCs w:val="26"/>
        </w:rPr>
        <w:t>See generally, Revisions of Limited Offering Exemptions in Regulation D</w:t>
      </w:r>
      <w:r w:rsidRPr="00186218">
        <w:rPr>
          <w:rFonts w:ascii="Times New Roman" w:eastAsia="Arial" w:hAnsi="Times New Roman" w:cs="Times New Roman"/>
          <w:sz w:val="26"/>
          <w:szCs w:val="26"/>
        </w:rPr>
        <w:t>, Securities Act Rel. No. 8828, 2007 WL 2239110 (Aug. 3, 2007). Each of these rules has additional specific requirements that must be satisfied before the exemption will apply. Because Regulation D provides a non-exclusive safe harbor, the failure to satisfy all the terms and conditions of any particular rule within Regulation D does not create a presumption that the exemption provided by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of the Securities Act is not otherwise available. See Comment 3 to Regulation D.</w:t>
      </w:r>
    </w:p>
    <w:p w:rsidR="00E83270" w:rsidRPr="00186218" w:rsidRDefault="00E83270" w:rsidP="00333E84">
      <w:pPr>
        <w:spacing w:after="240" w:line="240" w:lineRule="auto"/>
        <w:ind w:firstLine="720"/>
        <w:jc w:val="both"/>
        <w:rPr>
          <w:rFonts w:ascii="Times New Roman" w:eastAsia="Arial" w:hAnsi="Times New Roman" w:cs="Times New Roman"/>
          <w:sz w:val="26"/>
          <w:szCs w:val="26"/>
        </w:rPr>
      </w:pPr>
      <w:r w:rsidRPr="00186218">
        <w:rPr>
          <w:rFonts w:ascii="Times New Roman" w:eastAsia="Arial" w:hAnsi="Times New Roman" w:cs="Times New Roman"/>
          <w:sz w:val="26"/>
          <w:szCs w:val="26"/>
        </w:rPr>
        <w:t>Another frequently- claimed exemption from registration is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77c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11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commonly referred to as the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intrastate offering exemption.</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This statute exempts from registration securities that are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part of an issue offered and sold only to </w:t>
      </w:r>
      <w:proofErr w:type="gramStart"/>
      <w:r w:rsidRPr="00186218">
        <w:rPr>
          <w:rFonts w:ascii="Times New Roman" w:eastAsia="Arial" w:hAnsi="Times New Roman" w:cs="Times New Roman"/>
          <w:sz w:val="26"/>
          <w:szCs w:val="26"/>
        </w:rPr>
        <w:t>persons</w:t>
      </w:r>
      <w:proofErr w:type="gramEnd"/>
      <w:r w:rsidRPr="00186218">
        <w:rPr>
          <w:rFonts w:ascii="Times New Roman" w:eastAsia="Arial" w:hAnsi="Times New Roman" w:cs="Times New Roman"/>
          <w:sz w:val="26"/>
          <w:szCs w:val="26"/>
        </w:rPr>
        <w:t xml:space="preserve"> resident within a single state or territory, where the issuer</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is a person resident and doing business within</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w:t>
      </w:r>
      <w:proofErr w:type="gramStart"/>
      <w:r w:rsidRPr="00186218">
        <w:rPr>
          <w:rFonts w:ascii="Times New Roman" w:eastAsia="Arial" w:hAnsi="Times New Roman" w:cs="Times New Roman"/>
          <w:sz w:val="26"/>
          <w:szCs w:val="26"/>
        </w:rPr>
        <w:t>that</w:t>
      </w:r>
      <w:proofErr w:type="gramEnd"/>
      <w:r w:rsidRPr="00186218">
        <w:rPr>
          <w:rFonts w:ascii="Times New Roman" w:eastAsia="Arial" w:hAnsi="Times New Roman" w:cs="Times New Roman"/>
          <w:sz w:val="26"/>
          <w:szCs w:val="26"/>
        </w:rPr>
        <w:t xml:space="preserve">] </w:t>
      </w:r>
      <w:proofErr w:type="gramStart"/>
      <w:r w:rsidRPr="00186218">
        <w:rPr>
          <w:rFonts w:ascii="Times New Roman" w:eastAsia="Arial" w:hAnsi="Times New Roman" w:cs="Times New Roman"/>
          <w:sz w:val="26"/>
          <w:szCs w:val="26"/>
        </w:rPr>
        <w:t>State or Territory.</w:t>
      </w:r>
      <w:r>
        <w:rPr>
          <w:rFonts w:ascii="Times New Roman" w:eastAsia="Arial" w:hAnsi="Times New Roman" w:cs="Times New Roman"/>
          <w:sz w:val="26"/>
          <w:szCs w:val="26"/>
        </w:rPr>
        <w:t>”</w:t>
      </w:r>
      <w:proofErr w:type="gramEnd"/>
      <w:r w:rsidRPr="00186218">
        <w:rPr>
          <w:rFonts w:ascii="Times New Roman" w:eastAsia="Arial" w:hAnsi="Times New Roman" w:cs="Times New Roman"/>
          <w:sz w:val="26"/>
          <w:szCs w:val="26"/>
        </w:rPr>
        <w:t xml:space="preserve"> Because the exemption requires the entire issue to be offered and sold exclusively to residents of the state in which the issuer is resident and doing business, an offer or sale of any part of the issue to a single non-resident will destroy the exemption for the entire issue.</w:t>
      </w:r>
    </w:p>
    <w:p w:rsidR="00725167" w:rsidRPr="006E19CC" w:rsidRDefault="00E83270" w:rsidP="00333E84">
      <w:pPr>
        <w:spacing w:after="240" w:line="240" w:lineRule="auto"/>
        <w:ind w:firstLine="720"/>
        <w:jc w:val="both"/>
        <w:rPr>
          <w:rFonts w:cs="Arial"/>
          <w:szCs w:val="28"/>
        </w:rPr>
      </w:pPr>
      <w:r w:rsidRPr="00186218">
        <w:rPr>
          <w:rFonts w:ascii="Times New Roman" w:eastAsia="Arial" w:hAnsi="Times New Roman" w:cs="Times New Roman"/>
          <w:sz w:val="26"/>
          <w:szCs w:val="26"/>
        </w:rPr>
        <w:t xml:space="preserve">The SEC promulgated Rule 147, 17 C.F.R. </w:t>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230.147, to provide a safe harbor under the intrastate exemption. Under that rule, the intrastate offering will be available for offers and sales of securities that meet all the terms and conditions of the Rule. Those conditions are: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186218">
        <w:rPr>
          <w:rFonts w:ascii="Times New Roman" w:eastAsia="Arial" w:hAnsi="Times New Roman" w:cs="Times New Roman"/>
          <w:sz w:val="26"/>
          <w:szCs w:val="26"/>
        </w:rPr>
        <w:t xml:space="preserve">the issuer must be resident and doing business within the state or territory in which the securities are offered and sold (Rule 147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the </w:t>
      </w:r>
      <w:proofErr w:type="spellStart"/>
      <w:r w:rsidRPr="00186218">
        <w:rPr>
          <w:rFonts w:ascii="Times New Roman" w:eastAsia="Arial" w:hAnsi="Times New Roman" w:cs="Times New Roman"/>
          <w:sz w:val="26"/>
          <w:szCs w:val="26"/>
        </w:rPr>
        <w:t>offerees</w:t>
      </w:r>
      <w:proofErr w:type="spellEnd"/>
      <w:r w:rsidRPr="00186218">
        <w:rPr>
          <w:rFonts w:ascii="Times New Roman" w:eastAsia="Arial" w:hAnsi="Times New Roman" w:cs="Times New Roman"/>
          <w:sz w:val="26"/>
          <w:szCs w:val="26"/>
        </w:rPr>
        <w:t xml:space="preserve"> and purchasers must be resident within such state or territory (Rule 147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w:t>
      </w:r>
      <w:proofErr w:type="spellStart"/>
      <w:r w:rsidRPr="00186218">
        <w:rPr>
          <w:rFonts w:ascii="Times New Roman" w:eastAsia="Arial" w:hAnsi="Times New Roman" w:cs="Times New Roman"/>
          <w:sz w:val="26"/>
          <w:szCs w:val="26"/>
        </w:rPr>
        <w:t>resales</w:t>
      </w:r>
      <w:proofErr w:type="spellEnd"/>
      <w:r w:rsidRPr="00186218">
        <w:rPr>
          <w:rFonts w:ascii="Times New Roman" w:eastAsia="Arial" w:hAnsi="Times New Roman" w:cs="Times New Roman"/>
          <w:sz w:val="26"/>
          <w:szCs w:val="26"/>
        </w:rPr>
        <w:t xml:space="preserve"> for a period of 9 months after the last sale which is part of an issue must be limited as provided in Rule 147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5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6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In addition, the Rule provides that certain offers and sales of securities by or for the issuer will be deemed not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part of an issue</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for purposes of the </w:t>
      </w:r>
      <w:r w:rsidRPr="00186218">
        <w:rPr>
          <w:rFonts w:ascii="Times New Roman" w:eastAsia="Arial" w:hAnsi="Times New Roman" w:cs="Times New Roman"/>
          <w:sz w:val="26"/>
          <w:szCs w:val="26"/>
        </w:rPr>
        <w:lastRenderedPageBreak/>
        <w:t>rule only (Rule 147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186218">
        <w:rPr>
          <w:rFonts w:ascii="Times New Roman" w:eastAsia="Arial" w:hAnsi="Times New Roman" w:cs="Times New Roman"/>
          <w:sz w:val="26"/>
          <w:szCs w:val="26"/>
        </w:rPr>
        <w:t xml:space="preserve">). </w:t>
      </w:r>
      <w:r w:rsidRPr="00436DD6">
        <w:rPr>
          <w:rFonts w:ascii="Times New Roman" w:eastAsia="Arial" w:hAnsi="Times New Roman" w:cs="Times New Roman"/>
          <w:i/>
          <w:sz w:val="26"/>
          <w:szCs w:val="26"/>
        </w:rPr>
        <w:t>Examination of the Effects of Rules and Regulations on the Ability of Small Businesses to Raise Capital and the Impact on Small Businesses of Disclosure Requirements under the Securities Acts</w:t>
      </w:r>
      <w:r w:rsidRPr="00186218">
        <w:rPr>
          <w:rFonts w:ascii="Times New Roman" w:eastAsia="Arial" w:hAnsi="Times New Roman" w:cs="Times New Roman"/>
          <w:sz w:val="26"/>
          <w:szCs w:val="26"/>
        </w:rPr>
        <w:t xml:space="preserve">, Securities Act Rel. No. 5914, </w:t>
      </w:r>
      <w:r>
        <w:rPr>
          <w:rFonts w:ascii="Times New Roman" w:eastAsia="Arial" w:hAnsi="Times New Roman" w:cs="Times New Roman"/>
          <w:sz w:val="26"/>
          <w:szCs w:val="26"/>
        </w:rPr>
        <w:t xml:space="preserve">1978 WL 197119 (Mar. 6, 1978). </w:t>
      </w:r>
      <w:r w:rsidRPr="00186218">
        <w:rPr>
          <w:rFonts w:ascii="Times New Roman" w:eastAsia="Arial" w:hAnsi="Times New Roman" w:cs="Times New Roman"/>
          <w:sz w:val="26"/>
          <w:szCs w:val="26"/>
        </w:rPr>
        <w:t xml:space="preserve">The Rule also provides objective standards for the statutory terms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doing business within,</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resident within,</w:t>
      </w:r>
      <w:r>
        <w:rPr>
          <w:rFonts w:ascii="Times New Roman" w:eastAsia="Arial" w:hAnsi="Times New Roman" w:cs="Times New Roman"/>
          <w:sz w:val="26"/>
          <w:szCs w:val="26"/>
        </w:rPr>
        <w:t>”</w:t>
      </w:r>
      <w:r w:rsidRPr="00186218">
        <w:rPr>
          <w:rFonts w:ascii="Times New Roman" w:eastAsia="Arial" w:hAnsi="Times New Roman" w:cs="Times New Roman"/>
          <w:sz w:val="26"/>
          <w:szCs w:val="26"/>
        </w:rPr>
        <w:t xml:space="preserve"> and </w:t>
      </w:r>
      <w:r>
        <w:rPr>
          <w:rFonts w:ascii="Times New Roman" w:eastAsia="Arial" w:hAnsi="Times New Roman" w:cs="Times New Roman"/>
          <w:sz w:val="26"/>
          <w:szCs w:val="26"/>
        </w:rPr>
        <w:t>“</w:t>
      </w:r>
      <w:r w:rsidRPr="00186218">
        <w:rPr>
          <w:rFonts w:ascii="Times New Roman" w:eastAsia="Arial" w:hAnsi="Times New Roman" w:cs="Times New Roman"/>
          <w:sz w:val="26"/>
          <w:szCs w:val="26"/>
        </w:rPr>
        <w:t>part of the issue.</w:t>
      </w:r>
      <w:r>
        <w:rPr>
          <w:rFonts w:ascii="Times New Roman" w:eastAsia="Arial" w:hAnsi="Times New Roman" w:cs="Times New Roman"/>
          <w:sz w:val="26"/>
          <w:szCs w:val="26"/>
        </w:rPr>
        <w:t>”</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D6" w:rsidRDefault="006861D6" w:rsidP="006861D6">
      <w:pPr>
        <w:spacing w:after="0" w:line="240" w:lineRule="auto"/>
      </w:pPr>
      <w:r>
        <w:separator/>
      </w:r>
    </w:p>
  </w:endnote>
  <w:endnote w:type="continuationSeparator" w:id="0">
    <w:p w:rsidR="006861D6" w:rsidRDefault="006861D6" w:rsidP="0068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D6" w:rsidRDefault="006861D6" w:rsidP="006861D6">
      <w:pPr>
        <w:spacing w:after="0" w:line="240" w:lineRule="auto"/>
      </w:pPr>
      <w:r>
        <w:separator/>
      </w:r>
    </w:p>
  </w:footnote>
  <w:footnote w:type="continuationSeparator" w:id="0">
    <w:p w:rsidR="006861D6" w:rsidRDefault="006861D6" w:rsidP="0068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E02CA"/>
    <w:rsid w:val="001E531F"/>
    <w:rsid w:val="00240B28"/>
    <w:rsid w:val="002B67EE"/>
    <w:rsid w:val="00333E84"/>
    <w:rsid w:val="003C6FF2"/>
    <w:rsid w:val="00427B27"/>
    <w:rsid w:val="005819CC"/>
    <w:rsid w:val="006861D6"/>
    <w:rsid w:val="006E19CC"/>
    <w:rsid w:val="00703AA4"/>
    <w:rsid w:val="00725167"/>
    <w:rsid w:val="0076151A"/>
    <w:rsid w:val="007B150F"/>
    <w:rsid w:val="007B74C2"/>
    <w:rsid w:val="007D42A6"/>
    <w:rsid w:val="0081575C"/>
    <w:rsid w:val="0089546D"/>
    <w:rsid w:val="008A602D"/>
    <w:rsid w:val="008B5673"/>
    <w:rsid w:val="00927349"/>
    <w:rsid w:val="009A03FE"/>
    <w:rsid w:val="00A45395"/>
    <w:rsid w:val="00AD447F"/>
    <w:rsid w:val="00B31A3A"/>
    <w:rsid w:val="00BA403B"/>
    <w:rsid w:val="00BA604B"/>
    <w:rsid w:val="00C473BC"/>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68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D6"/>
  </w:style>
  <w:style w:type="paragraph" w:styleId="Footer">
    <w:name w:val="footer"/>
    <w:basedOn w:val="Normal"/>
    <w:link w:val="FooterChar"/>
    <w:uiPriority w:val="99"/>
    <w:unhideWhenUsed/>
    <w:rsid w:val="0068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68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D6"/>
  </w:style>
  <w:style w:type="paragraph" w:styleId="Footer">
    <w:name w:val="footer"/>
    <w:basedOn w:val="Normal"/>
    <w:link w:val="FooterChar"/>
    <w:uiPriority w:val="99"/>
    <w:unhideWhenUsed/>
    <w:rsid w:val="0068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9660</Characters>
  <Application>Microsoft Office Word</Application>
  <DocSecurity>0</DocSecurity>
  <Lines>80</Lines>
  <Paragraphs>22</Paragraphs>
  <ScaleCrop>false</ScaleCrop>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2014-04-30T02:14:00Z</dcterms:created>
  <dcterms:modified xsi:type="dcterms:W3CDTF">2014-06-20T23:33:00Z</dcterms:modified>
</cp:coreProperties>
</file>