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20" w:rsidRDefault="00A32720" w:rsidP="0076597D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A32720" w:rsidRPr="00AC103C" w:rsidRDefault="00A32720" w:rsidP="0076597D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C103C">
        <w:rPr>
          <w:rFonts w:ascii="Times New Roman" w:eastAsia="Arial" w:hAnsi="Times New Roman" w:cs="Times New Roman"/>
          <w:sz w:val="26"/>
          <w:szCs w:val="26"/>
        </w:rPr>
        <w:t>Section 17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of the Securities Act provides, in pertinent part:</w:t>
      </w:r>
    </w:p>
    <w:p w:rsidR="00A32720" w:rsidRPr="00AC103C" w:rsidRDefault="00A32720" w:rsidP="0076597D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C103C">
        <w:rPr>
          <w:rFonts w:ascii="Times New Roman" w:eastAsia="Arial" w:hAnsi="Times New Roman" w:cs="Times New Roman"/>
          <w:sz w:val="26"/>
          <w:szCs w:val="26"/>
        </w:rPr>
        <w:t>It shall be unlawful for any person in the offer or sale of any securities</w:t>
      </w:r>
      <w:r>
        <w:rPr>
          <w:rFonts w:ascii="Times New Roman" w:eastAsia="Arial" w:hAnsi="Times New Roman" w:cs="Times New Roman"/>
          <w:sz w:val="26"/>
          <w:szCs w:val="26"/>
        </w:rPr>
        <w:t xml:space="preserve">…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directly or indirectly </w:t>
      </w:r>
      <w:r>
        <w:rPr>
          <w:rFonts w:ascii="Times New Roman" w:eastAsia="Arial" w:hAnsi="Times New Roman" w:cs="Times New Roman"/>
          <w:sz w:val="26"/>
          <w:szCs w:val="26"/>
        </w:rPr>
        <w:t>–</w:t>
      </w:r>
    </w:p>
    <w:p w:rsidR="00A32720" w:rsidRPr="00AC103C" w:rsidRDefault="00A32720" w:rsidP="0076597D">
      <w:pPr>
        <w:spacing w:after="240" w:line="240" w:lineRule="auto"/>
        <w:ind w:left="720" w:right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4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to employ any device, scheme, or artifice to defraud, or</w:t>
      </w:r>
    </w:p>
    <w:p w:rsidR="00A32720" w:rsidRPr="00AC103C" w:rsidRDefault="00A32720" w:rsidP="0076597D">
      <w:pPr>
        <w:spacing w:after="240" w:line="240" w:lineRule="auto"/>
        <w:ind w:left="720" w:right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4 \s 2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to obtain money or property by means of any untrue statement of a material fact or any omission to state a material fact necessary in order to make the statements made, in light of the circumstances under which they were made, not misleading; or</w:t>
      </w:r>
    </w:p>
    <w:p w:rsidR="00A32720" w:rsidRPr="00AC103C" w:rsidRDefault="00A32720" w:rsidP="0076597D">
      <w:pPr>
        <w:spacing w:after="240" w:line="240" w:lineRule="auto"/>
        <w:ind w:left="720" w:right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4 \s 3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to engage in any transaction, practice, or course of business which operates or would operate as a fraud or deceit upon the purchaser.</w:t>
      </w:r>
    </w:p>
    <w:p w:rsidR="00725167" w:rsidRPr="006E19CC" w:rsidRDefault="00A32720" w:rsidP="0076597D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C103C">
        <w:rPr>
          <w:rFonts w:ascii="Times New Roman" w:eastAsia="Arial" w:hAnsi="Times New Roman" w:cs="Times New Roman"/>
          <w:sz w:val="26"/>
          <w:szCs w:val="26"/>
        </w:rPr>
        <w:t xml:space="preserve">15 U.S.C. </w:t>
      </w:r>
      <w:r>
        <w:rPr>
          <w:rFonts w:ascii="Times New Roman" w:eastAsia="Arial" w:hAnsi="Times New Roman" w:cs="Times New Roman"/>
          <w:sz w:val="26"/>
          <w:szCs w:val="26"/>
        </w:rPr>
        <w:t>§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77q.</w:t>
      </w:r>
      <w:r w:rsidR="00A769D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See SEC v. Jamie L. Solow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, 06-cv-81041 (S.D. FL), docket entry 118 at p.14; In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Re Bankatlantic Securities Litigation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, 07-cv-61542 (S.D. FL), docket entry 643 at p.21;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SEC v. Yun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, 99-cv-117 (M.D. FL), docket entry 360 at p.19;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see also SEC v. Grinsburg</w:t>
      </w:r>
      <w:r w:rsidRPr="00AC103C">
        <w:rPr>
          <w:rFonts w:ascii="Times New Roman" w:eastAsia="Arial" w:hAnsi="Times New Roman" w:cs="Times New Roman"/>
          <w:sz w:val="26"/>
          <w:szCs w:val="26"/>
        </w:rPr>
        <w:t>, 362 F.3d 1292, 1298 (</w:t>
      </w:r>
      <w:r>
        <w:rPr>
          <w:rFonts w:ascii="Times New Roman" w:eastAsia="Arial" w:hAnsi="Times New Roman" w:cs="Times New Roman"/>
          <w:sz w:val="26"/>
          <w:szCs w:val="26"/>
        </w:rPr>
        <w:t>11</w:t>
      </w:r>
      <w:r w:rsidRPr="00AC103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Cir. 2004) (preponderance of evidence standard and use of circumstantial evidence);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Basic, Inc. v. Levinson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, 485 U.S. 224 (1988) (materiality);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Aaron v. SEC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, 446 U.S. 680, 697 (1980) (scienter);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SEC v. Merchant Capital, LLC</w:t>
      </w:r>
      <w:r w:rsidRPr="00AC103C">
        <w:rPr>
          <w:rFonts w:ascii="Times New Roman" w:eastAsia="Arial" w:hAnsi="Times New Roman" w:cs="Times New Roman"/>
          <w:sz w:val="26"/>
          <w:szCs w:val="26"/>
        </w:rPr>
        <w:t>, 483 F.3d 747, 766-67, 768, &amp; 772 (</w:t>
      </w:r>
      <w:r>
        <w:rPr>
          <w:rFonts w:ascii="Times New Roman" w:eastAsia="Arial" w:hAnsi="Times New Roman" w:cs="Times New Roman"/>
          <w:sz w:val="26"/>
          <w:szCs w:val="26"/>
        </w:rPr>
        <w:t>11</w:t>
      </w:r>
      <w:r w:rsidRPr="00AC103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Cir. 2007) (materiality and scienter);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Bryant v. Avado Brands, Inc.</w:t>
      </w:r>
      <w:r w:rsidRPr="00AC103C">
        <w:rPr>
          <w:rFonts w:ascii="Times New Roman" w:eastAsia="Arial" w:hAnsi="Times New Roman" w:cs="Times New Roman"/>
          <w:sz w:val="26"/>
          <w:szCs w:val="26"/>
        </w:rPr>
        <w:t>, 187 F.3d 1271, 1282 n.18 (</w:t>
      </w:r>
      <w:r>
        <w:rPr>
          <w:rFonts w:ascii="Times New Roman" w:eastAsia="Arial" w:hAnsi="Times New Roman" w:cs="Times New Roman"/>
          <w:sz w:val="26"/>
          <w:szCs w:val="26"/>
        </w:rPr>
        <w:t>11</w:t>
      </w:r>
      <w:r w:rsidRPr="00AC103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Cir. 1999) (scienter);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SEC v. Carriba Air, Inc.</w:t>
      </w:r>
      <w:r w:rsidRPr="00AC103C">
        <w:rPr>
          <w:rFonts w:ascii="Times New Roman" w:eastAsia="Arial" w:hAnsi="Times New Roman" w:cs="Times New Roman"/>
          <w:sz w:val="26"/>
          <w:szCs w:val="26"/>
        </w:rPr>
        <w:t>, 681 F.2d 1318, 1324 (</w:t>
      </w:r>
      <w:r>
        <w:rPr>
          <w:rFonts w:ascii="Times New Roman" w:eastAsia="Arial" w:hAnsi="Times New Roman" w:cs="Times New Roman"/>
          <w:sz w:val="26"/>
          <w:szCs w:val="26"/>
        </w:rPr>
        <w:t>11</w:t>
      </w:r>
      <w:r w:rsidRPr="00AC103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Cir. 1982) (scienter);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Woods v. Barnett Bank of Ft. Lauderdale</w:t>
      </w:r>
      <w:r w:rsidRPr="00AC103C">
        <w:rPr>
          <w:rFonts w:ascii="Times New Roman" w:eastAsia="Arial" w:hAnsi="Times New Roman" w:cs="Times New Roman"/>
          <w:sz w:val="26"/>
          <w:szCs w:val="26"/>
        </w:rPr>
        <w:t>, 765 F.2d 1004, 1010-11, n.9 (</w:t>
      </w:r>
      <w:r>
        <w:rPr>
          <w:rFonts w:ascii="Times New Roman" w:eastAsia="Arial" w:hAnsi="Times New Roman" w:cs="Times New Roman"/>
          <w:sz w:val="26"/>
          <w:szCs w:val="26"/>
        </w:rPr>
        <w:t>11</w:t>
      </w:r>
      <w:r w:rsidRPr="00AC103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Cir. 1985) (scienter); </w:t>
      </w:r>
      <w:r w:rsidRPr="00AC103C">
        <w:rPr>
          <w:rFonts w:ascii="Times New Roman" w:eastAsia="Arial" w:hAnsi="Times New Roman" w:cs="Times New Roman"/>
          <w:i/>
          <w:sz w:val="26"/>
          <w:szCs w:val="26"/>
        </w:rPr>
        <w:t>see generally</w:t>
      </w:r>
      <w:r w:rsidRPr="00AC103C"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r w:rsidRPr="00AC103C">
        <w:rPr>
          <w:rFonts w:ascii="Times New Roman" w:eastAsia="Arial" w:hAnsi="Times New Roman" w:cs="Times New Roman"/>
          <w:sz w:val="26"/>
          <w:szCs w:val="26"/>
        </w:rPr>
        <w:t>and</w:t>
      </w:r>
      <w:r>
        <w:rPr>
          <w:rFonts w:ascii="Times New Roman" w:eastAsia="Arial" w:hAnsi="Times New Roman" w:cs="Times New Roman"/>
          <w:sz w:val="26"/>
          <w:szCs w:val="26"/>
        </w:rPr>
        <w:t>’</w:t>
      </w:r>
      <w:r w:rsidRPr="00AC103C">
        <w:rPr>
          <w:rFonts w:ascii="Times New Roman" w:eastAsia="Arial" w:hAnsi="Times New Roman" w:cs="Times New Roman"/>
          <w:sz w:val="26"/>
          <w:szCs w:val="26"/>
        </w:rPr>
        <w:t>s, Comments to Instruction 82-3, 82-4 &amp; 82-8.</w:t>
      </w:r>
      <w:bookmarkStart w:id="0" w:name="_GoBack"/>
      <w:bookmarkEnd w:id="0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3B" w:rsidRDefault="00E06C3B" w:rsidP="00E06C3B">
      <w:pPr>
        <w:spacing w:after="0" w:line="240" w:lineRule="auto"/>
      </w:pPr>
      <w:r>
        <w:separator/>
      </w:r>
    </w:p>
  </w:endnote>
  <w:endnote w:type="continuationSeparator" w:id="0">
    <w:p w:rsidR="00E06C3B" w:rsidRDefault="00E06C3B" w:rsidP="00E0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3B" w:rsidRDefault="00E06C3B" w:rsidP="00E06C3B">
      <w:pPr>
        <w:spacing w:after="0" w:line="240" w:lineRule="auto"/>
      </w:pPr>
      <w:r>
        <w:separator/>
      </w:r>
    </w:p>
  </w:footnote>
  <w:footnote w:type="continuationSeparator" w:id="0">
    <w:p w:rsidR="00E06C3B" w:rsidRDefault="00E06C3B" w:rsidP="00E06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A1C0D"/>
    <w:rsid w:val="0012451E"/>
    <w:rsid w:val="001E02CA"/>
    <w:rsid w:val="001E531F"/>
    <w:rsid w:val="00240B28"/>
    <w:rsid w:val="002B67EE"/>
    <w:rsid w:val="003C6FF2"/>
    <w:rsid w:val="00427B27"/>
    <w:rsid w:val="005819CC"/>
    <w:rsid w:val="006E19CC"/>
    <w:rsid w:val="00703AA4"/>
    <w:rsid w:val="00725167"/>
    <w:rsid w:val="0076151A"/>
    <w:rsid w:val="0076597D"/>
    <w:rsid w:val="007B150F"/>
    <w:rsid w:val="007B74C2"/>
    <w:rsid w:val="007D046F"/>
    <w:rsid w:val="007D42A6"/>
    <w:rsid w:val="0081575C"/>
    <w:rsid w:val="0089546D"/>
    <w:rsid w:val="008A602D"/>
    <w:rsid w:val="008B5673"/>
    <w:rsid w:val="00927349"/>
    <w:rsid w:val="009A03FE"/>
    <w:rsid w:val="00A32720"/>
    <w:rsid w:val="00A45395"/>
    <w:rsid w:val="00A769D9"/>
    <w:rsid w:val="00AD447F"/>
    <w:rsid w:val="00BA403B"/>
    <w:rsid w:val="00BA604B"/>
    <w:rsid w:val="00C473BC"/>
    <w:rsid w:val="00DC18AE"/>
    <w:rsid w:val="00DD3EED"/>
    <w:rsid w:val="00E06C3B"/>
    <w:rsid w:val="00E14061"/>
    <w:rsid w:val="00E33549"/>
    <w:rsid w:val="00E60CBF"/>
    <w:rsid w:val="00E7659F"/>
    <w:rsid w:val="00E83270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3B"/>
  </w:style>
  <w:style w:type="paragraph" w:styleId="Footer">
    <w:name w:val="footer"/>
    <w:basedOn w:val="Normal"/>
    <w:link w:val="FooterChar"/>
    <w:uiPriority w:val="99"/>
    <w:unhideWhenUsed/>
    <w:rsid w:val="00E0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3B"/>
  </w:style>
  <w:style w:type="paragraph" w:styleId="Footer">
    <w:name w:val="footer"/>
    <w:basedOn w:val="Normal"/>
    <w:link w:val="FooterChar"/>
    <w:uiPriority w:val="99"/>
    <w:unhideWhenUsed/>
    <w:rsid w:val="00E0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2014-04-30T01:54:00Z</dcterms:created>
  <dcterms:modified xsi:type="dcterms:W3CDTF">2014-06-20T23:30:00Z</dcterms:modified>
</cp:coreProperties>
</file>