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0A9" w:rsidRDefault="002840A9" w:rsidP="003C5386">
      <w:pPr>
        <w:spacing w:after="240" w:line="240" w:lineRule="auto"/>
        <w:jc w:val="both"/>
        <w:rPr>
          <w:rFonts w:ascii="Times New Roman" w:eastAsia="Arial" w:hAnsi="Times New Roman" w:cs="Times New Roman"/>
          <w:sz w:val="26"/>
          <w:szCs w:val="26"/>
        </w:rPr>
      </w:pPr>
      <w:bookmarkStart w:id="0" w:name="_GoBack"/>
      <w:r>
        <w:rPr>
          <w:rFonts w:ascii="Times New Roman" w:eastAsia="Arial" w:hAnsi="Times New Roman" w:cs="Times New Roman"/>
          <w:b/>
          <w:sz w:val="26"/>
          <w:szCs w:val="26"/>
          <w:u w:val="single"/>
        </w:rPr>
        <w:t>ANNOTATIONS AND COMMENTS</w:t>
      </w:r>
    </w:p>
    <w:p w:rsidR="002840A9" w:rsidRDefault="002840A9" w:rsidP="003C5386">
      <w:pPr>
        <w:spacing w:after="240" w:line="240" w:lineRule="auto"/>
        <w:jc w:val="both"/>
        <w:rPr>
          <w:rFonts w:ascii="Times New Roman" w:eastAsia="Arial" w:hAnsi="Times New Roman" w:cs="Times New Roman"/>
          <w:sz w:val="26"/>
          <w:szCs w:val="26"/>
        </w:rPr>
      </w:pPr>
      <w:r>
        <w:rPr>
          <w:rFonts w:ascii="Times New Roman" w:eastAsia="Arial" w:hAnsi="Times New Roman" w:cs="Times New Roman"/>
          <w:sz w:val="26"/>
          <w:szCs w:val="26"/>
        </w:rPr>
        <w:t>Section 17</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1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 xml:space="preserve"> of the Securities Act provides, in pertinent part:</w:t>
      </w:r>
    </w:p>
    <w:p w:rsidR="002840A9" w:rsidRPr="008A3A7B" w:rsidRDefault="002840A9" w:rsidP="003C5386">
      <w:pPr>
        <w:spacing w:after="240" w:line="240" w:lineRule="auto"/>
        <w:jc w:val="both"/>
        <w:rPr>
          <w:rFonts w:ascii="Times New Roman" w:eastAsia="Arial" w:hAnsi="Times New Roman" w:cs="Times New Roman"/>
          <w:sz w:val="26"/>
          <w:szCs w:val="26"/>
        </w:rPr>
      </w:pPr>
      <w:r w:rsidRPr="008A3A7B">
        <w:rPr>
          <w:rFonts w:ascii="Times New Roman" w:eastAsia="Arial" w:hAnsi="Times New Roman" w:cs="Times New Roman"/>
          <w:sz w:val="26"/>
          <w:szCs w:val="26"/>
        </w:rPr>
        <w:t>It shall be unlawful for any person in the offer or sale of any securities</w:t>
      </w:r>
      <w:r>
        <w:rPr>
          <w:rFonts w:ascii="Times New Roman" w:eastAsia="Arial" w:hAnsi="Times New Roman" w:cs="Times New Roman"/>
          <w:sz w:val="26"/>
          <w:szCs w:val="26"/>
        </w:rPr>
        <w:t>…</w:t>
      </w:r>
      <w:r w:rsidRPr="008A3A7B">
        <w:rPr>
          <w:rFonts w:ascii="Times New Roman" w:eastAsia="Arial" w:hAnsi="Times New Roman" w:cs="Times New Roman"/>
          <w:sz w:val="26"/>
          <w:szCs w:val="26"/>
        </w:rPr>
        <w:t xml:space="preserve"> directly or indirectly </w:t>
      </w:r>
    </w:p>
    <w:p w:rsidR="002840A9" w:rsidRPr="008A3A7B" w:rsidRDefault="002840A9" w:rsidP="003C5386">
      <w:pPr>
        <w:spacing w:after="240" w:line="240" w:lineRule="auto"/>
        <w:ind w:left="720" w:right="720"/>
        <w:jc w:val="both"/>
        <w:rPr>
          <w:rFonts w:ascii="Times New Roman" w:eastAsia="Arial" w:hAnsi="Times New Roman" w:cs="Times New Roman"/>
          <w:sz w:val="26"/>
          <w:szCs w:val="26"/>
        </w:rPr>
      </w:pP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1 </w:instrText>
      </w:r>
      <w:r>
        <w:rPr>
          <w:rFonts w:ascii="Times New Roman" w:eastAsia="Arial" w:hAnsi="Times New Roman" w:cs="Times New Roman"/>
          <w:sz w:val="26"/>
          <w:szCs w:val="26"/>
        </w:rPr>
        <w:fldChar w:fldCharType="end"/>
      </w:r>
      <w:r w:rsidRPr="008A3A7B">
        <w:rPr>
          <w:rFonts w:ascii="Times New Roman" w:eastAsia="Arial" w:hAnsi="Times New Roman" w:cs="Times New Roman"/>
          <w:sz w:val="26"/>
          <w:szCs w:val="26"/>
        </w:rPr>
        <w:t xml:space="preserve"> to employ any device, scheme, or artifice to defraud, or</w:t>
      </w:r>
    </w:p>
    <w:p w:rsidR="002840A9" w:rsidRPr="008A3A7B" w:rsidRDefault="002840A9" w:rsidP="003C5386">
      <w:pPr>
        <w:spacing w:after="240" w:line="240" w:lineRule="auto"/>
        <w:ind w:left="720" w:right="720"/>
        <w:jc w:val="both"/>
        <w:rPr>
          <w:rFonts w:ascii="Times New Roman" w:eastAsia="Arial" w:hAnsi="Times New Roman" w:cs="Times New Roman"/>
          <w:sz w:val="26"/>
          <w:szCs w:val="26"/>
        </w:rPr>
      </w:pP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2 </w:instrText>
      </w:r>
      <w:r>
        <w:rPr>
          <w:rFonts w:ascii="Times New Roman" w:eastAsia="Arial" w:hAnsi="Times New Roman" w:cs="Times New Roman"/>
          <w:sz w:val="26"/>
          <w:szCs w:val="26"/>
        </w:rPr>
        <w:fldChar w:fldCharType="end"/>
      </w:r>
      <w:r w:rsidRPr="008A3A7B">
        <w:rPr>
          <w:rFonts w:ascii="Times New Roman" w:eastAsia="Arial" w:hAnsi="Times New Roman" w:cs="Times New Roman"/>
          <w:sz w:val="26"/>
          <w:szCs w:val="26"/>
        </w:rPr>
        <w:t xml:space="preserve"> to obtain money or property by means of any untrue statement of a material fact or any omission to state a material fact necessary in order to make the statements made, in light of the circumstances under which they were made, not misleading; or</w:t>
      </w:r>
    </w:p>
    <w:p w:rsidR="002840A9" w:rsidRPr="008A3A7B" w:rsidRDefault="002840A9" w:rsidP="003C5386">
      <w:pPr>
        <w:spacing w:after="240" w:line="240" w:lineRule="auto"/>
        <w:ind w:left="720" w:right="720"/>
        <w:jc w:val="both"/>
        <w:rPr>
          <w:rFonts w:ascii="Times New Roman" w:eastAsia="Arial" w:hAnsi="Times New Roman" w:cs="Times New Roman"/>
          <w:sz w:val="26"/>
          <w:szCs w:val="26"/>
        </w:rPr>
      </w:pP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3 </w:instrText>
      </w:r>
      <w:r>
        <w:rPr>
          <w:rFonts w:ascii="Times New Roman" w:eastAsia="Arial" w:hAnsi="Times New Roman" w:cs="Times New Roman"/>
          <w:sz w:val="26"/>
          <w:szCs w:val="26"/>
        </w:rPr>
        <w:fldChar w:fldCharType="end"/>
      </w:r>
      <w:r w:rsidRPr="008A3A7B">
        <w:rPr>
          <w:rFonts w:ascii="Times New Roman" w:eastAsia="Arial" w:hAnsi="Times New Roman" w:cs="Times New Roman"/>
          <w:sz w:val="26"/>
          <w:szCs w:val="26"/>
        </w:rPr>
        <w:t xml:space="preserve"> to engage in any transaction, practice, or course of business which operates or would operate as a fraud or deceit upon the purchaser.</w:t>
      </w:r>
    </w:p>
    <w:p w:rsidR="002840A9" w:rsidRPr="008A3A7B" w:rsidRDefault="002840A9" w:rsidP="003C5386">
      <w:pPr>
        <w:spacing w:after="240" w:line="240" w:lineRule="auto"/>
        <w:jc w:val="both"/>
        <w:rPr>
          <w:rFonts w:ascii="Times New Roman" w:eastAsia="Arial" w:hAnsi="Times New Roman" w:cs="Times New Roman"/>
          <w:sz w:val="26"/>
          <w:szCs w:val="26"/>
        </w:rPr>
      </w:pPr>
      <w:r w:rsidRPr="008A3A7B">
        <w:rPr>
          <w:rFonts w:ascii="Times New Roman" w:eastAsia="Arial" w:hAnsi="Times New Roman" w:cs="Times New Roman"/>
          <w:sz w:val="26"/>
          <w:szCs w:val="26"/>
        </w:rPr>
        <w:t xml:space="preserve">15 U.S.C. </w:t>
      </w:r>
      <w:r>
        <w:rPr>
          <w:rFonts w:ascii="Times New Roman" w:eastAsia="Arial" w:hAnsi="Times New Roman" w:cs="Times New Roman"/>
          <w:sz w:val="26"/>
          <w:szCs w:val="26"/>
        </w:rPr>
        <w:t>§</w:t>
      </w:r>
      <w:r w:rsidRPr="008A3A7B">
        <w:rPr>
          <w:rFonts w:ascii="Times New Roman" w:eastAsia="Arial" w:hAnsi="Times New Roman" w:cs="Times New Roman"/>
          <w:sz w:val="26"/>
          <w:szCs w:val="26"/>
        </w:rPr>
        <w:t xml:space="preserve"> 77q.</w:t>
      </w:r>
    </w:p>
    <w:p w:rsidR="002840A9" w:rsidRPr="008A3A7B" w:rsidRDefault="002840A9" w:rsidP="003C5386">
      <w:pPr>
        <w:spacing w:after="240" w:line="240" w:lineRule="auto"/>
        <w:ind w:firstLine="720"/>
        <w:jc w:val="both"/>
        <w:rPr>
          <w:rFonts w:ascii="Times New Roman" w:eastAsia="Arial" w:hAnsi="Times New Roman" w:cs="Times New Roman"/>
          <w:sz w:val="26"/>
          <w:szCs w:val="26"/>
        </w:rPr>
      </w:pPr>
      <w:r w:rsidRPr="008A3A7B">
        <w:rPr>
          <w:rFonts w:ascii="Times New Roman" w:eastAsia="Arial" w:hAnsi="Times New Roman" w:cs="Times New Roman"/>
          <w:i/>
          <w:sz w:val="26"/>
          <w:szCs w:val="26"/>
        </w:rPr>
        <w:t>See SEC v. Jamie L. Solow</w:t>
      </w:r>
      <w:r w:rsidRPr="008A3A7B">
        <w:rPr>
          <w:rFonts w:ascii="Times New Roman" w:eastAsia="Arial" w:hAnsi="Times New Roman" w:cs="Times New Roman"/>
          <w:sz w:val="26"/>
          <w:szCs w:val="26"/>
        </w:rPr>
        <w:t xml:space="preserve">, 06-cv-81041 (S.D. FL), docket entry 118 at p.14; </w:t>
      </w:r>
      <w:r w:rsidRPr="008A3A7B">
        <w:rPr>
          <w:rFonts w:ascii="Times New Roman" w:eastAsia="Arial" w:hAnsi="Times New Roman" w:cs="Times New Roman"/>
          <w:i/>
          <w:sz w:val="26"/>
          <w:szCs w:val="26"/>
        </w:rPr>
        <w:t>In Re Bankatlantic Securities Litigation</w:t>
      </w:r>
      <w:r w:rsidRPr="008A3A7B">
        <w:rPr>
          <w:rFonts w:ascii="Times New Roman" w:eastAsia="Arial" w:hAnsi="Times New Roman" w:cs="Times New Roman"/>
          <w:sz w:val="26"/>
          <w:szCs w:val="26"/>
        </w:rPr>
        <w:t xml:space="preserve">, 07-cv-61542 (S.D. FL), docket entry 643 at p.21; </w:t>
      </w:r>
      <w:r w:rsidRPr="008A3A7B">
        <w:rPr>
          <w:rFonts w:ascii="Times New Roman" w:eastAsia="Arial" w:hAnsi="Times New Roman" w:cs="Times New Roman"/>
          <w:i/>
          <w:sz w:val="26"/>
          <w:szCs w:val="26"/>
        </w:rPr>
        <w:t>SEC v. Yun</w:t>
      </w:r>
      <w:r w:rsidRPr="008A3A7B">
        <w:rPr>
          <w:rFonts w:ascii="Times New Roman" w:eastAsia="Arial" w:hAnsi="Times New Roman" w:cs="Times New Roman"/>
          <w:sz w:val="26"/>
          <w:szCs w:val="26"/>
        </w:rPr>
        <w:t xml:space="preserve">, 99-cv-117 (M.D. FL), docket entry 360 at p.19; </w:t>
      </w:r>
      <w:r w:rsidRPr="008A3A7B">
        <w:rPr>
          <w:rFonts w:ascii="Times New Roman" w:eastAsia="Arial" w:hAnsi="Times New Roman" w:cs="Times New Roman"/>
          <w:i/>
          <w:sz w:val="26"/>
          <w:szCs w:val="26"/>
        </w:rPr>
        <w:t>see also SEC v. Grinsburg</w:t>
      </w:r>
      <w:r w:rsidRPr="008A3A7B">
        <w:rPr>
          <w:rFonts w:ascii="Times New Roman" w:eastAsia="Arial" w:hAnsi="Times New Roman" w:cs="Times New Roman"/>
          <w:sz w:val="26"/>
          <w:szCs w:val="26"/>
        </w:rPr>
        <w:t>, 362 F.3d 1292, 1298 (</w:t>
      </w:r>
      <w:r>
        <w:rPr>
          <w:rFonts w:ascii="Times New Roman" w:eastAsia="Arial" w:hAnsi="Times New Roman" w:cs="Times New Roman"/>
          <w:sz w:val="26"/>
          <w:szCs w:val="26"/>
        </w:rPr>
        <w:t>11</w:t>
      </w:r>
      <w:r w:rsidRPr="008A3A7B">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w:t>
      </w:r>
      <w:r w:rsidRPr="008A3A7B">
        <w:rPr>
          <w:rFonts w:ascii="Times New Roman" w:eastAsia="Arial" w:hAnsi="Times New Roman" w:cs="Times New Roman"/>
          <w:sz w:val="26"/>
          <w:szCs w:val="26"/>
        </w:rPr>
        <w:t xml:space="preserve">Cir. 2004) (preponderance of evidence standard and use of circumstantial evidence); </w:t>
      </w:r>
      <w:r w:rsidRPr="008A3A7B">
        <w:rPr>
          <w:rFonts w:ascii="Times New Roman" w:eastAsia="Arial" w:hAnsi="Times New Roman" w:cs="Times New Roman"/>
          <w:i/>
          <w:sz w:val="26"/>
          <w:szCs w:val="26"/>
        </w:rPr>
        <w:t>Basic, Inc. v. Levinson</w:t>
      </w:r>
      <w:r w:rsidRPr="008A3A7B">
        <w:rPr>
          <w:rFonts w:ascii="Times New Roman" w:eastAsia="Arial" w:hAnsi="Times New Roman" w:cs="Times New Roman"/>
          <w:sz w:val="26"/>
          <w:szCs w:val="26"/>
        </w:rPr>
        <w:t xml:space="preserve">, 485 U.S. 224 (1988) (materiality); </w:t>
      </w:r>
      <w:r w:rsidRPr="008A3A7B">
        <w:rPr>
          <w:rFonts w:ascii="Times New Roman" w:eastAsia="Arial" w:hAnsi="Times New Roman" w:cs="Times New Roman"/>
          <w:i/>
          <w:sz w:val="26"/>
          <w:szCs w:val="26"/>
        </w:rPr>
        <w:t>Aaron v. SEC</w:t>
      </w:r>
      <w:r w:rsidRPr="008A3A7B">
        <w:rPr>
          <w:rFonts w:ascii="Times New Roman" w:eastAsia="Arial" w:hAnsi="Times New Roman" w:cs="Times New Roman"/>
          <w:sz w:val="26"/>
          <w:szCs w:val="26"/>
        </w:rPr>
        <w:t xml:space="preserve">, 446 U.S. 680, 697 (1980) (negligence standard); </w:t>
      </w:r>
      <w:r w:rsidRPr="008A3A7B">
        <w:rPr>
          <w:rFonts w:ascii="Times New Roman" w:eastAsia="Arial" w:hAnsi="Times New Roman" w:cs="Times New Roman"/>
          <w:i/>
          <w:sz w:val="26"/>
          <w:szCs w:val="26"/>
        </w:rPr>
        <w:t>SEC v. Merchant Capital, LLC</w:t>
      </w:r>
      <w:r w:rsidRPr="008A3A7B">
        <w:rPr>
          <w:rFonts w:ascii="Times New Roman" w:eastAsia="Arial" w:hAnsi="Times New Roman" w:cs="Times New Roman"/>
          <w:sz w:val="26"/>
          <w:szCs w:val="26"/>
        </w:rPr>
        <w:t>, 483 F.3d 747, 766-67, 768, &amp; 772 (</w:t>
      </w:r>
      <w:r>
        <w:rPr>
          <w:rFonts w:ascii="Times New Roman" w:eastAsia="Arial" w:hAnsi="Times New Roman" w:cs="Times New Roman"/>
          <w:sz w:val="26"/>
          <w:szCs w:val="26"/>
        </w:rPr>
        <w:t>11</w:t>
      </w:r>
      <w:r w:rsidRPr="008A3A7B">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w:t>
      </w:r>
      <w:r w:rsidRPr="008A3A7B">
        <w:rPr>
          <w:rFonts w:ascii="Times New Roman" w:eastAsia="Arial" w:hAnsi="Times New Roman" w:cs="Times New Roman"/>
          <w:sz w:val="26"/>
          <w:szCs w:val="26"/>
        </w:rPr>
        <w:t xml:space="preserve">Cir. 2007) (materiality); </w:t>
      </w:r>
      <w:r w:rsidRPr="008A3A7B">
        <w:rPr>
          <w:rFonts w:ascii="Times New Roman" w:eastAsia="Arial" w:hAnsi="Times New Roman" w:cs="Times New Roman"/>
          <w:i/>
          <w:sz w:val="26"/>
          <w:szCs w:val="26"/>
        </w:rPr>
        <w:t>see generally</w:t>
      </w:r>
      <w:r w:rsidRPr="008A3A7B">
        <w:rPr>
          <w:rFonts w:ascii="Times New Roman" w:eastAsia="Arial" w:hAnsi="Times New Roman" w:cs="Times New Roman"/>
          <w:sz w:val="26"/>
          <w:szCs w:val="26"/>
        </w:rPr>
        <w:t xml:space="preserve"> Sand</w:t>
      </w:r>
      <w:r>
        <w:rPr>
          <w:rFonts w:ascii="Times New Roman" w:eastAsia="Arial" w:hAnsi="Times New Roman" w:cs="Times New Roman"/>
          <w:sz w:val="26"/>
          <w:szCs w:val="26"/>
        </w:rPr>
        <w:t>’</w:t>
      </w:r>
      <w:r w:rsidRPr="008A3A7B">
        <w:rPr>
          <w:rFonts w:ascii="Times New Roman" w:eastAsia="Arial" w:hAnsi="Times New Roman" w:cs="Times New Roman"/>
          <w:sz w:val="26"/>
          <w:szCs w:val="26"/>
        </w:rPr>
        <w:t>s, Comments to Instruction 82-3, 82-4 &amp; 82-8.</w:t>
      </w:r>
    </w:p>
    <w:p w:rsidR="002840A9" w:rsidRPr="008A3A7B" w:rsidRDefault="002840A9" w:rsidP="003C5386">
      <w:pPr>
        <w:spacing w:after="240" w:line="240" w:lineRule="auto"/>
        <w:ind w:firstLine="720"/>
        <w:jc w:val="both"/>
        <w:rPr>
          <w:rFonts w:ascii="Times New Roman" w:eastAsia="Arial" w:hAnsi="Times New Roman" w:cs="Times New Roman"/>
          <w:sz w:val="26"/>
          <w:szCs w:val="26"/>
        </w:rPr>
      </w:pPr>
      <w:r w:rsidRPr="008A3A7B">
        <w:rPr>
          <w:rFonts w:ascii="Times New Roman" w:eastAsia="Arial" w:hAnsi="Times New Roman" w:cs="Times New Roman"/>
          <w:sz w:val="26"/>
          <w:szCs w:val="26"/>
        </w:rPr>
        <w:t xml:space="preserve">A duty to correct </w:t>
      </w:r>
      <w:r>
        <w:rPr>
          <w:rFonts w:ascii="Times New Roman" w:eastAsia="Arial" w:hAnsi="Times New Roman" w:cs="Times New Roman"/>
          <w:sz w:val="26"/>
          <w:szCs w:val="26"/>
        </w:rPr>
        <w:t>“</w:t>
      </w:r>
      <w:r w:rsidRPr="008A3A7B">
        <w:rPr>
          <w:rFonts w:ascii="Times New Roman" w:eastAsia="Arial" w:hAnsi="Times New Roman" w:cs="Times New Roman"/>
          <w:sz w:val="26"/>
          <w:szCs w:val="26"/>
        </w:rPr>
        <w:t>applies when a company makes a historical statement that, at the time made, the company believed to be true, but as revealed by subsequently discovered information actually was not. The company then must correct the prior statement within a reasonable time.</w:t>
      </w:r>
      <w:r>
        <w:rPr>
          <w:rFonts w:ascii="Times New Roman" w:eastAsia="Arial" w:hAnsi="Times New Roman" w:cs="Times New Roman"/>
          <w:sz w:val="26"/>
          <w:szCs w:val="26"/>
        </w:rPr>
        <w:t>”</w:t>
      </w:r>
      <w:r w:rsidRPr="008A3A7B">
        <w:rPr>
          <w:rFonts w:ascii="Times New Roman" w:eastAsia="Arial" w:hAnsi="Times New Roman" w:cs="Times New Roman"/>
          <w:sz w:val="26"/>
          <w:szCs w:val="26"/>
        </w:rPr>
        <w:t xml:space="preserve"> </w:t>
      </w:r>
      <w:r w:rsidRPr="008A3A7B">
        <w:rPr>
          <w:rFonts w:ascii="Times New Roman" w:eastAsia="Arial" w:hAnsi="Times New Roman" w:cs="Times New Roman"/>
          <w:i/>
          <w:sz w:val="26"/>
          <w:szCs w:val="26"/>
        </w:rPr>
        <w:t>Stransky v. Cummins Engine Co., Inc.</w:t>
      </w:r>
      <w:r w:rsidRPr="008A3A7B">
        <w:rPr>
          <w:rFonts w:ascii="Times New Roman" w:eastAsia="Arial" w:hAnsi="Times New Roman" w:cs="Times New Roman"/>
          <w:sz w:val="26"/>
          <w:szCs w:val="26"/>
        </w:rPr>
        <w:t>, 51 F.3d 1329, 1331 (</w:t>
      </w:r>
      <w:r>
        <w:rPr>
          <w:rFonts w:ascii="Times New Roman" w:eastAsia="Arial" w:hAnsi="Times New Roman" w:cs="Times New Roman"/>
          <w:sz w:val="26"/>
          <w:szCs w:val="26"/>
        </w:rPr>
        <w:t>7</w:t>
      </w:r>
      <w:r w:rsidRPr="008A3A7B">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w:t>
      </w:r>
      <w:r w:rsidRPr="008A3A7B">
        <w:rPr>
          <w:rFonts w:ascii="Times New Roman" w:eastAsia="Arial" w:hAnsi="Times New Roman" w:cs="Times New Roman"/>
          <w:sz w:val="26"/>
          <w:szCs w:val="26"/>
        </w:rPr>
        <w:t xml:space="preserve">Cir 1995), citing </w:t>
      </w:r>
      <w:r w:rsidRPr="008A3A7B">
        <w:rPr>
          <w:rFonts w:ascii="Times New Roman" w:eastAsia="Arial" w:hAnsi="Times New Roman" w:cs="Times New Roman"/>
          <w:i/>
          <w:sz w:val="26"/>
          <w:szCs w:val="26"/>
        </w:rPr>
        <w:t>Backman v. Polaroid Corp.</w:t>
      </w:r>
      <w:r w:rsidRPr="008A3A7B">
        <w:rPr>
          <w:rFonts w:ascii="Times New Roman" w:eastAsia="Arial" w:hAnsi="Times New Roman" w:cs="Times New Roman"/>
          <w:sz w:val="26"/>
          <w:szCs w:val="26"/>
        </w:rPr>
        <w:t>, 910 F.2d 10, 16-17 (</w:t>
      </w:r>
      <w:r>
        <w:rPr>
          <w:rFonts w:ascii="Times New Roman" w:eastAsia="Arial" w:hAnsi="Times New Roman" w:cs="Times New Roman"/>
          <w:sz w:val="26"/>
          <w:szCs w:val="26"/>
        </w:rPr>
        <w:t>1</w:t>
      </w:r>
      <w:r w:rsidRPr="008A3A7B">
        <w:rPr>
          <w:rFonts w:ascii="Times New Roman" w:eastAsia="Arial" w:hAnsi="Times New Roman" w:cs="Times New Roman"/>
          <w:sz w:val="26"/>
          <w:szCs w:val="26"/>
          <w:vertAlign w:val="superscript"/>
        </w:rPr>
        <w:t>st</w:t>
      </w:r>
      <w:r>
        <w:rPr>
          <w:rFonts w:ascii="Times New Roman" w:eastAsia="Arial" w:hAnsi="Times New Roman" w:cs="Times New Roman"/>
          <w:sz w:val="26"/>
          <w:szCs w:val="26"/>
        </w:rPr>
        <w:t xml:space="preserve"> </w:t>
      </w:r>
      <w:r w:rsidRPr="008A3A7B">
        <w:rPr>
          <w:rFonts w:ascii="Times New Roman" w:eastAsia="Arial" w:hAnsi="Times New Roman" w:cs="Times New Roman"/>
          <w:sz w:val="26"/>
          <w:szCs w:val="26"/>
        </w:rPr>
        <w:t xml:space="preserve">Cir. 1990). </w:t>
      </w:r>
      <w:r w:rsidRPr="008A3A7B">
        <w:rPr>
          <w:rFonts w:ascii="Times New Roman" w:eastAsia="Arial" w:hAnsi="Times New Roman" w:cs="Times New Roman"/>
          <w:i/>
          <w:sz w:val="26"/>
          <w:szCs w:val="26"/>
        </w:rPr>
        <w:t>See also, In re Burlington Coat Factory Secs. Litig.</w:t>
      </w:r>
      <w:r w:rsidRPr="008A3A7B">
        <w:rPr>
          <w:rFonts w:ascii="Times New Roman" w:eastAsia="Arial" w:hAnsi="Times New Roman" w:cs="Times New Roman"/>
          <w:sz w:val="26"/>
          <w:szCs w:val="26"/>
        </w:rPr>
        <w:t>, 114 F.3d 1410, 1430-32 (</w:t>
      </w:r>
      <w:r>
        <w:rPr>
          <w:rFonts w:ascii="Times New Roman" w:eastAsia="Arial" w:hAnsi="Times New Roman" w:cs="Times New Roman"/>
          <w:sz w:val="26"/>
          <w:szCs w:val="26"/>
        </w:rPr>
        <w:t>3</w:t>
      </w:r>
      <w:r w:rsidRPr="008A3A7B">
        <w:rPr>
          <w:rFonts w:ascii="Times New Roman" w:eastAsia="Arial" w:hAnsi="Times New Roman" w:cs="Times New Roman"/>
          <w:sz w:val="26"/>
          <w:szCs w:val="26"/>
          <w:vertAlign w:val="superscript"/>
        </w:rPr>
        <w:t>rd</w:t>
      </w:r>
      <w:r>
        <w:rPr>
          <w:rFonts w:ascii="Times New Roman" w:eastAsia="Arial" w:hAnsi="Times New Roman" w:cs="Times New Roman"/>
          <w:sz w:val="26"/>
          <w:szCs w:val="26"/>
        </w:rPr>
        <w:t xml:space="preserve"> </w:t>
      </w:r>
      <w:r w:rsidRPr="008A3A7B">
        <w:rPr>
          <w:rFonts w:ascii="Times New Roman" w:eastAsia="Arial" w:hAnsi="Times New Roman" w:cs="Times New Roman"/>
          <w:sz w:val="26"/>
          <w:szCs w:val="26"/>
        </w:rPr>
        <w:t xml:space="preserve">Cir. 1997) (noting that a duty to correct may also arise with forward-looking statements if they are based on assumptions that the speaker later learns were incorrect when made). The duty to update is a distinct doctrine; it may apply </w:t>
      </w:r>
      <w:r>
        <w:rPr>
          <w:rFonts w:ascii="Times New Roman" w:eastAsia="Arial" w:hAnsi="Times New Roman" w:cs="Times New Roman"/>
          <w:sz w:val="26"/>
          <w:szCs w:val="26"/>
        </w:rPr>
        <w:t>“</w:t>
      </w:r>
      <w:r w:rsidRPr="008A3A7B">
        <w:rPr>
          <w:rFonts w:ascii="Times New Roman" w:eastAsia="Arial" w:hAnsi="Times New Roman" w:cs="Times New Roman"/>
          <w:sz w:val="26"/>
          <w:szCs w:val="26"/>
        </w:rPr>
        <w:t>when a company makes a forward-looking statement - a projection - that because of subsequent events becomes untrue.</w:t>
      </w:r>
      <w:r>
        <w:rPr>
          <w:rFonts w:ascii="Times New Roman" w:eastAsia="Arial" w:hAnsi="Times New Roman" w:cs="Times New Roman"/>
          <w:sz w:val="26"/>
          <w:szCs w:val="26"/>
        </w:rPr>
        <w:t>”</w:t>
      </w:r>
      <w:r w:rsidRPr="008A3A7B">
        <w:rPr>
          <w:rFonts w:ascii="Times New Roman" w:eastAsia="Arial" w:hAnsi="Times New Roman" w:cs="Times New Roman"/>
          <w:sz w:val="26"/>
          <w:szCs w:val="26"/>
        </w:rPr>
        <w:t xml:space="preserve"> </w:t>
      </w:r>
      <w:r w:rsidRPr="008A3A7B">
        <w:rPr>
          <w:rFonts w:ascii="Times New Roman" w:eastAsia="Arial" w:hAnsi="Times New Roman" w:cs="Times New Roman"/>
          <w:i/>
          <w:sz w:val="26"/>
          <w:szCs w:val="26"/>
        </w:rPr>
        <w:t>Stransky</w:t>
      </w:r>
      <w:r w:rsidRPr="008A3A7B">
        <w:rPr>
          <w:rFonts w:ascii="Times New Roman" w:eastAsia="Arial" w:hAnsi="Times New Roman" w:cs="Times New Roman"/>
          <w:sz w:val="26"/>
          <w:szCs w:val="26"/>
        </w:rPr>
        <w:t xml:space="preserve">, 51 F.3d at 1332. </w:t>
      </w:r>
      <w:r w:rsidRPr="008A3A7B">
        <w:rPr>
          <w:rFonts w:ascii="Times New Roman" w:eastAsia="Arial" w:hAnsi="Times New Roman" w:cs="Times New Roman"/>
          <w:i/>
          <w:sz w:val="26"/>
          <w:szCs w:val="26"/>
        </w:rPr>
        <w:t>See also, In re Int</w:t>
      </w:r>
      <w:r>
        <w:rPr>
          <w:rFonts w:ascii="Times New Roman" w:eastAsia="Arial" w:hAnsi="Times New Roman" w:cs="Times New Roman"/>
          <w:i/>
          <w:sz w:val="26"/>
          <w:szCs w:val="26"/>
        </w:rPr>
        <w:t>’</w:t>
      </w:r>
      <w:r w:rsidRPr="008A3A7B">
        <w:rPr>
          <w:rFonts w:ascii="Times New Roman" w:eastAsia="Arial" w:hAnsi="Times New Roman" w:cs="Times New Roman"/>
          <w:i/>
          <w:sz w:val="26"/>
          <w:szCs w:val="26"/>
        </w:rPr>
        <w:t>l. Bus. Mach. Corp. Sec. Litig.</w:t>
      </w:r>
      <w:r w:rsidRPr="008A3A7B">
        <w:rPr>
          <w:rFonts w:ascii="Times New Roman" w:eastAsia="Arial" w:hAnsi="Times New Roman" w:cs="Times New Roman"/>
          <w:sz w:val="26"/>
          <w:szCs w:val="26"/>
        </w:rPr>
        <w:t>, 163 F.3d 102, 110 (</w:t>
      </w:r>
      <w:r>
        <w:rPr>
          <w:rFonts w:ascii="Times New Roman" w:eastAsia="Arial" w:hAnsi="Times New Roman" w:cs="Times New Roman"/>
          <w:sz w:val="26"/>
          <w:szCs w:val="26"/>
        </w:rPr>
        <w:t>2</w:t>
      </w:r>
      <w:r w:rsidRPr="008A3A7B">
        <w:rPr>
          <w:rFonts w:ascii="Times New Roman" w:eastAsia="Arial" w:hAnsi="Times New Roman" w:cs="Times New Roman"/>
          <w:sz w:val="26"/>
          <w:szCs w:val="26"/>
          <w:vertAlign w:val="superscript"/>
        </w:rPr>
        <w:t>nd</w:t>
      </w:r>
      <w:r>
        <w:rPr>
          <w:rFonts w:ascii="Times New Roman" w:eastAsia="Arial" w:hAnsi="Times New Roman" w:cs="Times New Roman"/>
          <w:sz w:val="26"/>
          <w:szCs w:val="26"/>
        </w:rPr>
        <w:t xml:space="preserve"> </w:t>
      </w:r>
      <w:r w:rsidRPr="008A3A7B">
        <w:rPr>
          <w:rFonts w:ascii="Times New Roman" w:eastAsia="Arial" w:hAnsi="Times New Roman" w:cs="Times New Roman"/>
          <w:sz w:val="26"/>
          <w:szCs w:val="26"/>
        </w:rPr>
        <w:t>Cir. 1998).</w:t>
      </w:r>
    </w:p>
    <w:p w:rsidR="00725167" w:rsidRPr="006E19CC" w:rsidRDefault="002840A9" w:rsidP="003C5386">
      <w:pPr>
        <w:spacing w:after="240" w:line="240" w:lineRule="auto"/>
        <w:ind w:firstLine="720"/>
        <w:jc w:val="both"/>
        <w:rPr>
          <w:rFonts w:ascii="Times New Roman" w:eastAsia="Arial" w:hAnsi="Times New Roman" w:cs="Times New Roman"/>
          <w:sz w:val="26"/>
          <w:szCs w:val="26"/>
        </w:rPr>
      </w:pPr>
      <w:r w:rsidRPr="008A3A7B">
        <w:rPr>
          <w:rFonts w:ascii="Times New Roman" w:eastAsia="Arial" w:hAnsi="Times New Roman" w:cs="Times New Roman"/>
          <w:sz w:val="26"/>
          <w:szCs w:val="26"/>
        </w:rPr>
        <w:t xml:space="preserve">There is a split among the courts whether there is a duty to update information disclosed to the public to insure the accuracy of statements and representations previously made in light of new information or developments. The Eleventh Circuit has not addressed whether there is a duty to update. In a case where the evidence suggests a change in information or other developments and a party determines there was a duty to </w:t>
      </w:r>
      <w:r w:rsidRPr="008A3A7B">
        <w:rPr>
          <w:rFonts w:ascii="Times New Roman" w:eastAsia="Arial" w:hAnsi="Times New Roman" w:cs="Times New Roman"/>
          <w:sz w:val="26"/>
          <w:szCs w:val="26"/>
        </w:rPr>
        <w:lastRenderedPageBreak/>
        <w:t xml:space="preserve">update, the court will need to determine if, considering the current legal authority, a duty to update information instruction is required to be given and, if so, the form of instruction to be given. </w:t>
      </w:r>
      <w:r w:rsidRPr="00E729D6">
        <w:rPr>
          <w:rFonts w:ascii="Times New Roman" w:eastAsia="Arial" w:hAnsi="Times New Roman" w:cs="Times New Roman"/>
          <w:i/>
          <w:sz w:val="26"/>
          <w:szCs w:val="26"/>
        </w:rPr>
        <w:t>See</w:t>
      </w:r>
      <w:r w:rsidRPr="008A3A7B">
        <w:rPr>
          <w:rFonts w:ascii="Times New Roman" w:eastAsia="Arial" w:hAnsi="Times New Roman" w:cs="Times New Roman"/>
          <w:sz w:val="26"/>
          <w:szCs w:val="26"/>
        </w:rPr>
        <w:t xml:space="preserve"> Eric R. Smith, Thomas D. Washburne, Jr. &amp; Uyen H. Pham, </w:t>
      </w:r>
      <w:r w:rsidRPr="00E729D6">
        <w:rPr>
          <w:rFonts w:ascii="Times New Roman" w:eastAsia="Arial" w:hAnsi="Times New Roman" w:cs="Times New Roman"/>
          <w:i/>
          <w:sz w:val="26"/>
          <w:szCs w:val="26"/>
        </w:rPr>
        <w:t>Duty to Update Previously Disclosed Information</w:t>
      </w:r>
      <w:r w:rsidRPr="008A3A7B">
        <w:rPr>
          <w:rFonts w:ascii="Times New Roman" w:eastAsia="Arial" w:hAnsi="Times New Roman" w:cs="Times New Roman"/>
          <w:sz w:val="26"/>
          <w:szCs w:val="26"/>
        </w:rPr>
        <w:t>, Practical Law Company (2011),</w:t>
      </w:r>
      <w:r>
        <w:rPr>
          <w:rFonts w:ascii="Times New Roman" w:eastAsia="Arial" w:hAnsi="Times New Roman" w:cs="Times New Roman"/>
          <w:sz w:val="26"/>
          <w:szCs w:val="26"/>
        </w:rPr>
        <w:t xml:space="preserve"> </w:t>
      </w:r>
      <w:r w:rsidRPr="001D7741">
        <w:rPr>
          <w:rFonts w:ascii="Times New Roman" w:eastAsia="Arial" w:hAnsi="Times New Roman" w:cs="Times New Roman"/>
          <w:sz w:val="26"/>
          <w:szCs w:val="26"/>
          <w:u w:val="single"/>
        </w:rPr>
        <w:t>http://www.venable.com/files/Publication/d90ad0bd-0947-4956-aa70-1026f1ac03be/ Presentation/PublicationAttachment/cf3d0d7f-ca04-4b19-96e1-1510529d9821/Duty_to_ Update_Previously_Disclosed_Information.pdf</w:t>
      </w:r>
      <w:r w:rsidRPr="008A3A7B">
        <w:rPr>
          <w:rFonts w:ascii="Times New Roman" w:eastAsia="Arial" w:hAnsi="Times New Roman" w:cs="Times New Roman"/>
          <w:sz w:val="26"/>
          <w:szCs w:val="26"/>
        </w:rPr>
        <w:t xml:space="preserve">. </w:t>
      </w:r>
      <w:r w:rsidRPr="00E729D6">
        <w:rPr>
          <w:rFonts w:ascii="Times New Roman" w:eastAsia="Arial" w:hAnsi="Times New Roman" w:cs="Times New Roman"/>
          <w:i/>
          <w:sz w:val="26"/>
          <w:szCs w:val="26"/>
        </w:rPr>
        <w:t>Compare In Re Burlington Coat Factory Secs. Litig.</w:t>
      </w:r>
      <w:r w:rsidRPr="008A3A7B">
        <w:rPr>
          <w:rFonts w:ascii="Times New Roman" w:eastAsia="Arial" w:hAnsi="Times New Roman" w:cs="Times New Roman"/>
          <w:sz w:val="26"/>
          <w:szCs w:val="26"/>
        </w:rPr>
        <w:t>, 114 F.3d 1410 (</w:t>
      </w:r>
      <w:r>
        <w:rPr>
          <w:rFonts w:ascii="Times New Roman" w:eastAsia="Arial" w:hAnsi="Times New Roman" w:cs="Times New Roman"/>
          <w:sz w:val="26"/>
          <w:szCs w:val="26"/>
        </w:rPr>
        <w:t>3</w:t>
      </w:r>
      <w:r w:rsidRPr="00E729D6">
        <w:rPr>
          <w:rFonts w:ascii="Times New Roman" w:eastAsia="Arial" w:hAnsi="Times New Roman" w:cs="Times New Roman"/>
          <w:sz w:val="26"/>
          <w:szCs w:val="26"/>
          <w:vertAlign w:val="superscript"/>
        </w:rPr>
        <w:t>rd</w:t>
      </w:r>
      <w:r>
        <w:rPr>
          <w:rFonts w:ascii="Times New Roman" w:eastAsia="Arial" w:hAnsi="Times New Roman" w:cs="Times New Roman"/>
          <w:sz w:val="26"/>
          <w:szCs w:val="26"/>
        </w:rPr>
        <w:t xml:space="preserve"> </w:t>
      </w:r>
      <w:r w:rsidRPr="008A3A7B">
        <w:rPr>
          <w:rFonts w:ascii="Times New Roman" w:eastAsia="Arial" w:hAnsi="Times New Roman" w:cs="Times New Roman"/>
          <w:sz w:val="26"/>
          <w:szCs w:val="26"/>
        </w:rPr>
        <w:t xml:space="preserve">Cir. 1997) (duty triggered where representation remained alive) and </w:t>
      </w:r>
      <w:r w:rsidRPr="00E729D6">
        <w:rPr>
          <w:rFonts w:ascii="Times New Roman" w:eastAsia="Arial" w:hAnsi="Times New Roman" w:cs="Times New Roman"/>
          <w:i/>
          <w:sz w:val="26"/>
          <w:szCs w:val="26"/>
        </w:rPr>
        <w:t>Ill. State Bd. of Inv. v. Authentidate Holding Corp., et al.</w:t>
      </w:r>
      <w:r w:rsidRPr="008A3A7B">
        <w:rPr>
          <w:rFonts w:ascii="Times New Roman" w:eastAsia="Arial" w:hAnsi="Times New Roman" w:cs="Times New Roman"/>
          <w:sz w:val="26"/>
          <w:szCs w:val="26"/>
        </w:rPr>
        <w:t>, 369 F. App</w:t>
      </w:r>
      <w:r>
        <w:rPr>
          <w:rFonts w:ascii="Times New Roman" w:eastAsia="Arial" w:hAnsi="Times New Roman" w:cs="Times New Roman"/>
          <w:sz w:val="26"/>
          <w:szCs w:val="26"/>
        </w:rPr>
        <w:t>’</w:t>
      </w:r>
      <w:r w:rsidRPr="008A3A7B">
        <w:rPr>
          <w:rFonts w:ascii="Times New Roman" w:eastAsia="Arial" w:hAnsi="Times New Roman" w:cs="Times New Roman"/>
          <w:sz w:val="26"/>
          <w:szCs w:val="26"/>
        </w:rPr>
        <w:t>x 260 (</w:t>
      </w:r>
      <w:r>
        <w:rPr>
          <w:rFonts w:ascii="Times New Roman" w:eastAsia="Arial" w:hAnsi="Times New Roman" w:cs="Times New Roman"/>
          <w:sz w:val="26"/>
          <w:szCs w:val="26"/>
        </w:rPr>
        <w:t>2</w:t>
      </w:r>
      <w:r w:rsidRPr="00E729D6">
        <w:rPr>
          <w:rFonts w:ascii="Times New Roman" w:eastAsia="Arial" w:hAnsi="Times New Roman" w:cs="Times New Roman"/>
          <w:sz w:val="26"/>
          <w:szCs w:val="26"/>
          <w:vertAlign w:val="superscript"/>
        </w:rPr>
        <w:t>nd</w:t>
      </w:r>
      <w:r>
        <w:rPr>
          <w:rFonts w:ascii="Times New Roman" w:eastAsia="Arial" w:hAnsi="Times New Roman" w:cs="Times New Roman"/>
          <w:sz w:val="26"/>
          <w:szCs w:val="26"/>
        </w:rPr>
        <w:t xml:space="preserve"> </w:t>
      </w:r>
      <w:r w:rsidRPr="008A3A7B">
        <w:rPr>
          <w:rFonts w:ascii="Times New Roman" w:eastAsia="Arial" w:hAnsi="Times New Roman" w:cs="Times New Roman"/>
          <w:sz w:val="26"/>
          <w:szCs w:val="26"/>
        </w:rPr>
        <w:t xml:space="preserve">Cir. 2010) (duty depends on significance of information and whether there were cautionary statements) with </w:t>
      </w:r>
      <w:r w:rsidRPr="00E729D6">
        <w:rPr>
          <w:rFonts w:ascii="Times New Roman" w:eastAsia="Arial" w:hAnsi="Times New Roman" w:cs="Times New Roman"/>
          <w:i/>
          <w:sz w:val="26"/>
          <w:szCs w:val="26"/>
        </w:rPr>
        <w:t>Gallagher v. Abbott Laboratories</w:t>
      </w:r>
      <w:r w:rsidRPr="008A3A7B">
        <w:rPr>
          <w:rFonts w:ascii="Times New Roman" w:eastAsia="Arial" w:hAnsi="Times New Roman" w:cs="Times New Roman"/>
          <w:sz w:val="26"/>
          <w:szCs w:val="26"/>
        </w:rPr>
        <w:t>, 269 F.3d 806 (</w:t>
      </w:r>
      <w:r>
        <w:rPr>
          <w:rFonts w:ascii="Times New Roman" w:eastAsia="Arial" w:hAnsi="Times New Roman" w:cs="Times New Roman"/>
          <w:sz w:val="26"/>
          <w:szCs w:val="26"/>
        </w:rPr>
        <w:t>7</w:t>
      </w:r>
      <w:r w:rsidRPr="00E729D6">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w:t>
      </w:r>
      <w:r w:rsidRPr="008A3A7B">
        <w:rPr>
          <w:rFonts w:ascii="Times New Roman" w:eastAsia="Arial" w:hAnsi="Times New Roman" w:cs="Times New Roman"/>
          <w:sz w:val="26"/>
          <w:szCs w:val="26"/>
        </w:rPr>
        <w:t>Cir. 2001) (no duty to update).</w:t>
      </w:r>
      <w:bookmarkEnd w:id="0"/>
    </w:p>
    <w:sectPr w:rsidR="00725167" w:rsidRPr="006E19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F8B" w:rsidRDefault="001B3F8B" w:rsidP="001B3F8B">
      <w:pPr>
        <w:spacing w:after="0" w:line="240" w:lineRule="auto"/>
      </w:pPr>
      <w:r>
        <w:separator/>
      </w:r>
    </w:p>
  </w:endnote>
  <w:endnote w:type="continuationSeparator" w:id="0">
    <w:p w:rsidR="001B3F8B" w:rsidRDefault="001B3F8B" w:rsidP="001B3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F8B" w:rsidRDefault="001B3F8B" w:rsidP="001B3F8B">
      <w:pPr>
        <w:spacing w:after="0" w:line="240" w:lineRule="auto"/>
      </w:pPr>
      <w:r>
        <w:separator/>
      </w:r>
    </w:p>
  </w:footnote>
  <w:footnote w:type="continuationSeparator" w:id="0">
    <w:p w:rsidR="001B3F8B" w:rsidRDefault="001B3F8B" w:rsidP="001B3F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395"/>
    <w:rsid w:val="00014B03"/>
    <w:rsid w:val="000A1C0D"/>
    <w:rsid w:val="0012451E"/>
    <w:rsid w:val="001B3F8B"/>
    <w:rsid w:val="001D7741"/>
    <w:rsid w:val="001E02CA"/>
    <w:rsid w:val="001E531F"/>
    <w:rsid w:val="00240B28"/>
    <w:rsid w:val="002840A9"/>
    <w:rsid w:val="002B67EE"/>
    <w:rsid w:val="003C5386"/>
    <w:rsid w:val="003C6FF2"/>
    <w:rsid w:val="00427B27"/>
    <w:rsid w:val="005819CC"/>
    <w:rsid w:val="006E19CC"/>
    <w:rsid w:val="00703AA4"/>
    <w:rsid w:val="00725167"/>
    <w:rsid w:val="0076151A"/>
    <w:rsid w:val="007B150F"/>
    <w:rsid w:val="007B74C2"/>
    <w:rsid w:val="007D42A6"/>
    <w:rsid w:val="0081575C"/>
    <w:rsid w:val="0089546D"/>
    <w:rsid w:val="008A602D"/>
    <w:rsid w:val="008B5673"/>
    <w:rsid w:val="00927349"/>
    <w:rsid w:val="009A03FE"/>
    <w:rsid w:val="00A32720"/>
    <w:rsid w:val="00A45395"/>
    <w:rsid w:val="00AD447F"/>
    <w:rsid w:val="00BA403B"/>
    <w:rsid w:val="00BA604B"/>
    <w:rsid w:val="00C473BC"/>
    <w:rsid w:val="00DC18AE"/>
    <w:rsid w:val="00DD3EED"/>
    <w:rsid w:val="00E14061"/>
    <w:rsid w:val="00E33549"/>
    <w:rsid w:val="00E60CBF"/>
    <w:rsid w:val="00E7659F"/>
    <w:rsid w:val="00E83270"/>
    <w:rsid w:val="00F9797A"/>
    <w:rsid w:val="00FE6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395"/>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ListParagraph">
    <w:name w:val="List Paragraph"/>
    <w:aliases w:val="List Paragraph 1"/>
    <w:basedOn w:val="Normal"/>
    <w:uiPriority w:val="34"/>
    <w:qFormat/>
    <w:rsid w:val="00FE61D9"/>
    <w:pPr>
      <w:ind w:left="720"/>
      <w:contextualSpacing/>
    </w:pPr>
  </w:style>
  <w:style w:type="paragraph" w:styleId="Header">
    <w:name w:val="header"/>
    <w:basedOn w:val="Normal"/>
    <w:link w:val="HeaderChar"/>
    <w:uiPriority w:val="99"/>
    <w:unhideWhenUsed/>
    <w:rsid w:val="001B3F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F8B"/>
  </w:style>
  <w:style w:type="paragraph" w:styleId="Footer">
    <w:name w:val="footer"/>
    <w:basedOn w:val="Normal"/>
    <w:link w:val="FooterChar"/>
    <w:uiPriority w:val="99"/>
    <w:unhideWhenUsed/>
    <w:rsid w:val="001B3F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F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395"/>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ListParagraph">
    <w:name w:val="List Paragraph"/>
    <w:aliases w:val="List Paragraph 1"/>
    <w:basedOn w:val="Normal"/>
    <w:uiPriority w:val="34"/>
    <w:qFormat/>
    <w:rsid w:val="00FE61D9"/>
    <w:pPr>
      <w:ind w:left="720"/>
      <w:contextualSpacing/>
    </w:pPr>
  </w:style>
  <w:style w:type="paragraph" w:styleId="Header">
    <w:name w:val="header"/>
    <w:basedOn w:val="Normal"/>
    <w:link w:val="HeaderChar"/>
    <w:uiPriority w:val="99"/>
    <w:unhideWhenUsed/>
    <w:rsid w:val="001B3F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F8B"/>
  </w:style>
  <w:style w:type="paragraph" w:styleId="Footer">
    <w:name w:val="footer"/>
    <w:basedOn w:val="Normal"/>
    <w:link w:val="FooterChar"/>
    <w:uiPriority w:val="99"/>
    <w:unhideWhenUsed/>
    <w:rsid w:val="001B3F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3221</Characters>
  <Application>Microsoft Office Word</Application>
  <DocSecurity>0</DocSecurity>
  <Lines>26</Lines>
  <Paragraphs>7</Paragraphs>
  <ScaleCrop>false</ScaleCrop>
  <LinksUpToDate>false</LinksUpToDate>
  <CharactersWithSpaces>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2014-04-30T01:42:00Z</dcterms:created>
  <dcterms:modified xsi:type="dcterms:W3CDTF">2014-06-20T23:18:00Z</dcterms:modified>
</cp:coreProperties>
</file>