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ED" w:rsidRPr="00681690" w:rsidRDefault="00E35EED" w:rsidP="001958B4">
      <w:pPr>
        <w:spacing w:after="240" w:line="240" w:lineRule="auto"/>
        <w:jc w:val="both"/>
        <w:rPr>
          <w:rFonts w:ascii="Times New Roman" w:eastAsia="Arial" w:hAnsi="Times New Roman" w:cs="Times New Roman"/>
          <w:sz w:val="26"/>
          <w:szCs w:val="26"/>
        </w:rPr>
      </w:pPr>
      <w:bookmarkStart w:id="0" w:name="_GoBack"/>
      <w:bookmarkEnd w:id="0"/>
      <w:r w:rsidRPr="00681690">
        <w:rPr>
          <w:rFonts w:ascii="Times New Roman" w:eastAsia="Arial" w:hAnsi="Times New Roman" w:cs="Times New Roman"/>
          <w:b/>
          <w:sz w:val="26"/>
          <w:szCs w:val="26"/>
          <w:u w:val="single"/>
        </w:rPr>
        <w:t>ANNOTATIONS AND COMMENTS</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These instructions should be given only in cases in which the Plaintiff seeks to protect a trademark registered on the Principal Register of the U.S. Patent and Trademark Office. In light of the Supreme Court’s suggestion in </w:t>
      </w:r>
      <w:r w:rsidRPr="00F14DB5">
        <w:rPr>
          <w:rFonts w:ascii="Times New Roman" w:eastAsia="Times New Roman" w:hAnsi="Times New Roman" w:cs="Times New Roman"/>
          <w:i/>
          <w:sz w:val="26"/>
          <w:szCs w:val="26"/>
        </w:rPr>
        <w:t>Two Pesos, Inc. v. Taco Cabana, Inc.</w:t>
      </w:r>
      <w:r w:rsidRPr="00F14DB5">
        <w:rPr>
          <w:rFonts w:ascii="Times New Roman" w:eastAsia="Times New Roman" w:hAnsi="Times New Roman" w:cs="Times New Roman"/>
          <w:sz w:val="26"/>
          <w:szCs w:val="26"/>
        </w:rPr>
        <w:t xml:space="preserve">, 505 U.S. 763, 112 S. Ct. 2753, 120 L. Ed. 2d 615 (1992), that there is no reason to apply differing rules to conventional word marks and trade dresses, and these instructions may need to be amended if word marks or trade dress apply in a case. </w:t>
      </w:r>
      <w:r w:rsidRPr="00F14DB5">
        <w:rPr>
          <w:rFonts w:ascii="Times New Roman" w:eastAsia="Times New Roman" w:hAnsi="Times New Roman" w:cs="Times New Roman"/>
          <w:i/>
          <w:sz w:val="26"/>
          <w:szCs w:val="26"/>
        </w:rPr>
        <w:t>See Two Pesos</w:t>
      </w:r>
      <w:r w:rsidRPr="00F14DB5">
        <w:rPr>
          <w:rFonts w:ascii="Times New Roman" w:eastAsia="Times New Roman" w:hAnsi="Times New Roman" w:cs="Times New Roman"/>
          <w:sz w:val="26"/>
          <w:szCs w:val="26"/>
        </w:rPr>
        <w:t xml:space="preserve"> in </w:t>
      </w:r>
      <w:r w:rsidRPr="00F14DB5">
        <w:rPr>
          <w:rFonts w:ascii="Times New Roman" w:eastAsia="Times New Roman" w:hAnsi="Times New Roman" w:cs="Times New Roman"/>
          <w:i/>
          <w:sz w:val="26"/>
          <w:szCs w:val="26"/>
        </w:rPr>
        <w:t>Wal-Mart Stores, Inc. v. Samara Bros.</w:t>
      </w:r>
      <w:r w:rsidRPr="00F14DB5">
        <w:rPr>
          <w:rFonts w:ascii="Times New Roman" w:eastAsia="Times New Roman" w:hAnsi="Times New Roman" w:cs="Times New Roman"/>
          <w:sz w:val="26"/>
          <w:szCs w:val="26"/>
        </w:rPr>
        <w:t xml:space="preserve">, 529 U.S. 205, 120 S. Ct. 1339, 146 L. Ed. 2d 182 (2000), and </w:t>
      </w:r>
      <w:r w:rsidRPr="00F14DB5">
        <w:rPr>
          <w:rFonts w:ascii="Times New Roman" w:eastAsia="Times New Roman" w:hAnsi="Times New Roman" w:cs="Times New Roman"/>
          <w:i/>
          <w:sz w:val="26"/>
          <w:szCs w:val="26"/>
        </w:rPr>
        <w:t>Qualitex Co. v. Jacobson Prods. Co.</w:t>
      </w:r>
      <w:r w:rsidRPr="00F14DB5">
        <w:rPr>
          <w:rFonts w:ascii="Times New Roman" w:eastAsia="Times New Roman" w:hAnsi="Times New Roman" w:cs="Times New Roman"/>
          <w:sz w:val="26"/>
          <w:szCs w:val="26"/>
        </w:rPr>
        <w:t xml:space="preserve">, 514 U.S. 159, 164, 115 S. Ct. 1300, 1304, 131 L. Ed. 2d 248 (1995). Also, this instruction may be modified if the trademark at issue is a service mark, certification mark, or trade dress. </w:t>
      </w:r>
      <w:r w:rsidRPr="00F14DB5">
        <w:rPr>
          <w:rFonts w:ascii="Times New Roman" w:eastAsia="Times New Roman" w:hAnsi="Times New Roman" w:cs="Times New Roman"/>
          <w:i/>
          <w:sz w:val="26"/>
          <w:szCs w:val="26"/>
        </w:rPr>
        <w:t>See</w:t>
      </w:r>
      <w:r w:rsidRPr="00F14DB5">
        <w:rPr>
          <w:rFonts w:ascii="Times New Roman" w:eastAsia="Times New Roman" w:hAnsi="Times New Roman" w:cs="Times New Roman"/>
          <w:sz w:val="26"/>
          <w:szCs w:val="26"/>
        </w:rPr>
        <w:t xml:space="preserve"> Annotations a</w:t>
      </w:r>
      <w:r w:rsidR="00C26F27" w:rsidRPr="00F14DB5">
        <w:rPr>
          <w:rFonts w:ascii="Times New Roman" w:eastAsia="Times New Roman" w:hAnsi="Times New Roman" w:cs="Times New Roman"/>
          <w:sz w:val="26"/>
          <w:szCs w:val="26"/>
        </w:rPr>
        <w:t>nd Comments to Instruction 10.4</w:t>
      </w:r>
      <w:r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supra</w:t>
      </w:r>
      <w:r w:rsidRPr="00F14DB5">
        <w:rPr>
          <w:rFonts w:ascii="Times New Roman" w:eastAsia="Times New Roman" w:hAnsi="Times New Roman" w:cs="Times New Roman"/>
          <w:sz w:val="26"/>
          <w:szCs w:val="26"/>
        </w:rPr>
        <w:t xml:space="preserve"> for additional discussion.</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If the registration in question matured from an application filed before November 16, 1989, the evidentiary presumption of validity and constructive nationwide priority attaching to it are effective as of the date the registration was issued. If the registration in question matured from an application filed on or after November 16, 1989, the constructive nationwide priority attaching to it is effective as of the filing date of the application. </w:t>
      </w:r>
      <w:r w:rsidRPr="00F14DB5">
        <w:rPr>
          <w:rFonts w:ascii="Times New Roman" w:eastAsia="Times New Roman" w:hAnsi="Times New Roman" w:cs="Times New Roman"/>
          <w:i/>
          <w:sz w:val="26"/>
          <w:szCs w:val="26"/>
        </w:rPr>
        <w:t>See</w:t>
      </w:r>
      <w:r w:rsidRPr="00F14DB5">
        <w:rPr>
          <w:rFonts w:ascii="Times New Roman" w:eastAsia="Times New Roman" w:hAnsi="Times New Roman" w:cs="Times New Roman"/>
          <w:sz w:val="26"/>
          <w:szCs w:val="26"/>
        </w:rPr>
        <w:t xml:space="preserve"> Trademark Law Revision Act of 1988, Pub. L. 100-667, § 128</w:t>
      </w:r>
      <w:r w:rsidRPr="00F14DB5">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2 </w:instrText>
      </w:r>
      <w:r w:rsidRPr="00F14DB5">
        <w:rPr>
          <w:rFonts w:ascii="Times New Roman" w:eastAsia="Times New Roman" w:hAnsi="Times New Roman" w:cs="Times New Roman"/>
          <w:sz w:val="26"/>
          <w:szCs w:val="26"/>
        </w:rPr>
        <w:fldChar w:fldCharType="end">
          <w:numberingChange w:id="1" w:author="Author" w:original="(b)"/>
        </w:fldChar>
      </w:r>
      <w:r w:rsidRPr="00F14DB5">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4 \s 1 </w:instrText>
      </w:r>
      <w:r w:rsidRPr="00F14DB5">
        <w:rPr>
          <w:rFonts w:ascii="Times New Roman" w:eastAsia="Times New Roman" w:hAnsi="Times New Roman" w:cs="Times New Roman"/>
          <w:sz w:val="26"/>
          <w:szCs w:val="26"/>
        </w:rPr>
        <w:fldChar w:fldCharType="end">
          <w:numberingChange w:id="2" w:author="Author" w:original="(1)"/>
        </w:fldChar>
      </w:r>
      <w:r w:rsidRPr="00F14DB5">
        <w:rPr>
          <w:rFonts w:ascii="Times New Roman" w:eastAsia="Times New Roman" w:hAnsi="Times New Roman" w:cs="Times New Roman"/>
          <w:sz w:val="26"/>
          <w:szCs w:val="26"/>
        </w:rPr>
        <w:t>, 102 Stat. 3944. These instructions assume that any registrations at issue matured from applications filed after November 16, 1989, and that the constructive nationwide priority attaching to those registrations is effective as of the filing date of the applications from which they matured. For registrations maturing out of applications filed after that date, the instructions should be modified to refer to the dates of the registrations’ issuance, rather than application filing dates.</w:t>
      </w:r>
    </w:p>
    <w:p w:rsidR="00E35EED" w:rsidRPr="00F14DB5" w:rsidRDefault="00E35EED" w:rsidP="001958B4">
      <w:pPr>
        <w:spacing w:after="240" w:line="240" w:lineRule="auto"/>
        <w:ind w:right="-180"/>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Evidentiary Significance of Federal Registrations on the Principal Register</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The U.S. Patent and Trademark Office maintains two “registers” on which trademarks can be registered: </w:t>
      </w:r>
      <w:r w:rsidRPr="00F14DB5">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OutlineDefault \l 5 \s 1 </w:instrText>
      </w:r>
      <w:r w:rsidRPr="00F14DB5">
        <w:rPr>
          <w:rFonts w:ascii="Times New Roman" w:eastAsia="Times New Roman" w:hAnsi="Times New Roman" w:cs="Times New Roman"/>
          <w:sz w:val="26"/>
          <w:szCs w:val="26"/>
        </w:rPr>
        <w:fldChar w:fldCharType="end">
          <w:numberingChange w:id="3" w:author="Author" w:original="(1)"/>
        </w:fldChar>
      </w:r>
      <w:r w:rsidRPr="00F14DB5">
        <w:rPr>
          <w:rFonts w:ascii="Times New Roman" w:eastAsia="Times New Roman" w:hAnsi="Times New Roman" w:cs="Times New Roman"/>
          <w:sz w:val="26"/>
          <w:szCs w:val="26"/>
        </w:rPr>
        <w:t xml:space="preserve"> the Principal Register; and </w:t>
      </w:r>
      <w:r w:rsidRPr="00F14DB5">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4 \s 2 </w:instrText>
      </w:r>
      <w:r w:rsidRPr="00F14DB5">
        <w:rPr>
          <w:rFonts w:ascii="Times New Roman" w:eastAsia="Times New Roman" w:hAnsi="Times New Roman" w:cs="Times New Roman"/>
          <w:sz w:val="26"/>
          <w:szCs w:val="26"/>
        </w:rPr>
        <w:fldChar w:fldCharType="end">
          <w:numberingChange w:id="4" w:author="Author" w:original="(2)"/>
        </w:fldChar>
      </w:r>
      <w:r w:rsidRPr="00F14DB5">
        <w:rPr>
          <w:rFonts w:ascii="Times New Roman" w:eastAsia="Times New Roman" w:hAnsi="Times New Roman" w:cs="Times New Roman"/>
          <w:sz w:val="26"/>
          <w:szCs w:val="26"/>
        </w:rPr>
        <w:t xml:space="preserve"> the Supplemental Register. </w:t>
      </w:r>
      <w:r w:rsidRPr="00F14DB5">
        <w:rPr>
          <w:rFonts w:ascii="Times New Roman" w:eastAsia="Times New Roman" w:hAnsi="Times New Roman" w:cs="Times New Roman"/>
          <w:i/>
          <w:sz w:val="26"/>
          <w:szCs w:val="26"/>
        </w:rPr>
        <w:t>See</w:t>
      </w:r>
      <w:r w:rsidR="00D046BA" w:rsidRPr="00F14DB5">
        <w:rPr>
          <w:rFonts w:ascii="Times New Roman" w:eastAsia="Times New Roman" w:hAnsi="Times New Roman" w:cs="Times New Roman"/>
          <w:sz w:val="26"/>
          <w:szCs w:val="26"/>
        </w:rPr>
        <w:t xml:space="preserve"> 15 U.S.C. §§ 1051, 1091 (2012</w:t>
      </w:r>
      <w:r w:rsidRPr="00F14DB5">
        <w:rPr>
          <w:rFonts w:ascii="Times New Roman" w:eastAsia="Times New Roman" w:hAnsi="Times New Roman" w:cs="Times New Roman"/>
          <w:sz w:val="26"/>
          <w:szCs w:val="26"/>
        </w:rPr>
        <w:t>).</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Under Sections 7</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2 </w:instrText>
      </w:r>
      <w:r w:rsidRPr="005153CF">
        <w:rPr>
          <w:rFonts w:ascii="Times New Roman" w:eastAsia="Times New Roman" w:hAnsi="Times New Roman" w:cs="Times New Roman"/>
          <w:sz w:val="26"/>
          <w:szCs w:val="26"/>
        </w:rPr>
        <w:fldChar w:fldCharType="end">
          <w:numberingChange w:id="5" w:author="Author" w:original="(b)"/>
        </w:fldChar>
      </w:r>
      <w:r w:rsidRPr="00F14DB5">
        <w:rPr>
          <w:rFonts w:ascii="Times New Roman" w:eastAsia="Times New Roman" w:hAnsi="Times New Roman" w:cs="Times New Roman"/>
          <w:sz w:val="26"/>
          <w:szCs w:val="26"/>
        </w:rPr>
        <w:t xml:space="preserve"> and 33</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1 </w:instrText>
      </w:r>
      <w:r w:rsidRPr="005153CF">
        <w:rPr>
          <w:rFonts w:ascii="Times New Roman" w:eastAsia="Times New Roman" w:hAnsi="Times New Roman" w:cs="Times New Roman"/>
          <w:sz w:val="26"/>
          <w:szCs w:val="26"/>
        </w:rPr>
        <w:fldChar w:fldCharType="end">
          <w:numberingChange w:id="6" w:author="Author" w:original="(a)"/>
        </w:fldChar>
      </w:r>
      <w:r w:rsidRPr="00F14DB5">
        <w:rPr>
          <w:rFonts w:ascii="Times New Roman" w:eastAsia="Times New Roman" w:hAnsi="Times New Roman" w:cs="Times New Roman"/>
          <w:sz w:val="26"/>
          <w:szCs w:val="26"/>
        </w:rPr>
        <w:t xml:space="preserve"> of the Lanham Act, a federal registration on the Principal Register is, at least, “prima facie” evidence of the validity of the registered trademark and of the registration of the trademark, of the registrant’s ownership of the trademark, and of the registrant’s exclusive right to use the registered trademark in connection with the goods recited in the registration. </w:t>
      </w:r>
      <w:r w:rsidRPr="00F14DB5">
        <w:rPr>
          <w:rFonts w:ascii="Times New Roman" w:eastAsia="Times New Roman" w:hAnsi="Times New Roman" w:cs="Times New Roman"/>
          <w:i/>
          <w:sz w:val="26"/>
          <w:szCs w:val="26"/>
        </w:rPr>
        <w:t>See</w:t>
      </w:r>
      <w:r w:rsidRPr="00F14DB5">
        <w:rPr>
          <w:rFonts w:ascii="Times New Roman" w:eastAsia="Times New Roman" w:hAnsi="Times New Roman" w:cs="Times New Roman"/>
          <w:sz w:val="26"/>
          <w:szCs w:val="26"/>
        </w:rPr>
        <w:t xml:space="preserve"> 15 U.S.C. §§ 1057</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2 </w:instrText>
      </w:r>
      <w:r w:rsidRPr="005153CF">
        <w:rPr>
          <w:rFonts w:ascii="Times New Roman" w:eastAsia="Times New Roman" w:hAnsi="Times New Roman" w:cs="Times New Roman"/>
          <w:sz w:val="26"/>
          <w:szCs w:val="26"/>
        </w:rPr>
        <w:fldChar w:fldCharType="end">
          <w:numberingChange w:id="7" w:author="Author" w:original="(b)"/>
        </w:fldChar>
      </w:r>
      <w:r w:rsidRPr="00F14DB5">
        <w:rPr>
          <w:rFonts w:ascii="Times New Roman" w:eastAsia="Times New Roman" w:hAnsi="Times New Roman" w:cs="Times New Roman"/>
          <w:sz w:val="26"/>
          <w:szCs w:val="26"/>
        </w:rPr>
        <w:t>, 1115</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1 </w:instrText>
      </w:r>
      <w:r w:rsidRPr="005153CF">
        <w:rPr>
          <w:rFonts w:ascii="Times New Roman" w:eastAsia="Times New Roman" w:hAnsi="Times New Roman" w:cs="Times New Roman"/>
          <w:sz w:val="26"/>
          <w:szCs w:val="26"/>
        </w:rPr>
        <w:fldChar w:fldCharType="end">
          <w:numberingChange w:id="8" w:author="Author" w:original="(a)"/>
        </w:fldChar>
      </w:r>
      <w:r w:rsidRPr="00F14DB5">
        <w:rPr>
          <w:rFonts w:ascii="Times New Roman" w:eastAsia="Times New Roman" w:hAnsi="Times New Roman" w:cs="Times New Roman"/>
          <w:sz w:val="26"/>
          <w:szCs w:val="26"/>
        </w:rPr>
        <w:t xml:space="preserve"> (20</w:t>
      </w:r>
      <w:r w:rsidR="00D046BA" w:rsidRPr="00F14DB5">
        <w:rPr>
          <w:rFonts w:ascii="Times New Roman" w:eastAsia="Times New Roman" w:hAnsi="Times New Roman" w:cs="Times New Roman"/>
          <w:sz w:val="26"/>
          <w:szCs w:val="26"/>
        </w:rPr>
        <w:t>12</w:t>
      </w:r>
      <w:r w:rsidRPr="00F14DB5">
        <w:rPr>
          <w:rFonts w:ascii="Times New Roman" w:eastAsia="Times New Roman" w:hAnsi="Times New Roman" w:cs="Times New Roman"/>
          <w:sz w:val="26"/>
          <w:szCs w:val="26"/>
        </w:rPr>
        <w:t xml:space="preserve">). If the registration matured from an application filed before November 16, 1989, the effective date of this presumption is the registration date. If the registration matured from an application filed on or after November 16, 1989, the effective date of this presumption is the application’s filing date. </w:t>
      </w:r>
      <w:r w:rsidRPr="00F14DB5">
        <w:rPr>
          <w:rFonts w:ascii="Times New Roman" w:eastAsia="Times New Roman" w:hAnsi="Times New Roman" w:cs="Times New Roman"/>
          <w:i/>
          <w:sz w:val="26"/>
          <w:szCs w:val="26"/>
        </w:rPr>
        <w:t>See</w:t>
      </w:r>
      <w:r w:rsidRPr="00F14DB5">
        <w:rPr>
          <w:rFonts w:ascii="Times New Roman" w:eastAsia="Times New Roman" w:hAnsi="Times New Roman" w:cs="Times New Roman"/>
          <w:sz w:val="26"/>
          <w:szCs w:val="26"/>
        </w:rPr>
        <w:t xml:space="preserve"> Trademark Law Revision Act of 1988, Pub. L. 100-667, § 128</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2 </w:instrText>
      </w:r>
      <w:r w:rsidRPr="005153CF">
        <w:rPr>
          <w:rFonts w:ascii="Times New Roman" w:eastAsia="Times New Roman" w:hAnsi="Times New Roman" w:cs="Times New Roman"/>
          <w:sz w:val="26"/>
          <w:szCs w:val="26"/>
        </w:rPr>
        <w:fldChar w:fldCharType="end">
          <w:numberingChange w:id="9" w:author="Author" w:original="(b)"/>
        </w:fldChar>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4 \s 1 </w:instrText>
      </w:r>
      <w:r w:rsidRPr="005153CF">
        <w:rPr>
          <w:rFonts w:ascii="Times New Roman" w:eastAsia="Times New Roman" w:hAnsi="Times New Roman" w:cs="Times New Roman"/>
          <w:sz w:val="26"/>
          <w:szCs w:val="26"/>
        </w:rPr>
        <w:fldChar w:fldCharType="end">
          <w:numberingChange w:id="10" w:author="Author" w:original="(1)"/>
        </w:fldChar>
      </w:r>
      <w:r w:rsidRPr="00F14DB5">
        <w:rPr>
          <w:rFonts w:ascii="Times New Roman" w:eastAsia="Times New Roman" w:hAnsi="Times New Roman" w:cs="Times New Roman"/>
          <w:sz w:val="26"/>
          <w:szCs w:val="26"/>
        </w:rPr>
        <w:t>, 102 Stat. 3944.</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lastRenderedPageBreak/>
        <w:t>A registration on the Principal Register can become “incontestable” if its owner files with the Patent and Trademark Office an affidavit or declaration of incontestability under Section 15 of the Lanham Act, 15 U.S.C. § 1065. An affidavit or declaration of incontestability requires the registrant to swear under oath that:</w:t>
      </w:r>
    </w:p>
    <w:p w:rsidR="00E35EED" w:rsidRPr="00F14DB5" w:rsidRDefault="00E35EED" w:rsidP="001958B4">
      <w:pPr>
        <w:spacing w:after="240" w:line="240" w:lineRule="auto"/>
        <w:ind w:left="1022" w:hanging="302"/>
        <w:jc w:val="both"/>
        <w:rPr>
          <w:rFonts w:ascii="Times New Roman" w:eastAsia="Times New Roman" w:hAnsi="Times New Roman" w:cs="Times New Roman"/>
          <w:sz w:val="26"/>
          <w:szCs w:val="26"/>
        </w:rPr>
      </w:pP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7 \s 1 </w:instrText>
      </w:r>
      <w:r w:rsidRPr="005153CF">
        <w:rPr>
          <w:rFonts w:ascii="Times New Roman" w:eastAsia="Times New Roman" w:hAnsi="Times New Roman" w:cs="Times New Roman"/>
          <w:sz w:val="26"/>
          <w:szCs w:val="26"/>
        </w:rPr>
        <w:fldChar w:fldCharType="end">
          <w:numberingChange w:id="11" w:author="Author" w:original="1."/>
        </w:fldChar>
      </w:r>
      <w:r w:rsidRPr="00F14DB5">
        <w:rPr>
          <w:rFonts w:ascii="Times New Roman" w:eastAsia="Times New Roman" w:hAnsi="Times New Roman" w:cs="Times New Roman"/>
          <w:sz w:val="26"/>
          <w:szCs w:val="26"/>
        </w:rPr>
        <w:t xml:space="preserve"> There has been no final decision to the registrant’s claim of ownership of the registered trademark for the goods and services covered by the registration or to the registrant’s right to register its trademark or to maintain the registration of its trademark;</w:t>
      </w:r>
    </w:p>
    <w:p w:rsidR="00E35EED" w:rsidRPr="00F14DB5" w:rsidRDefault="00E35EED" w:rsidP="001958B4">
      <w:pPr>
        <w:spacing w:after="240" w:line="240" w:lineRule="auto"/>
        <w:ind w:left="1094" w:hanging="374"/>
        <w:jc w:val="both"/>
        <w:rPr>
          <w:rFonts w:ascii="Times New Roman" w:eastAsia="Times New Roman" w:hAnsi="Times New Roman" w:cs="Times New Roman"/>
          <w:sz w:val="26"/>
          <w:szCs w:val="26"/>
        </w:rPr>
      </w:pP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7 \s 2 </w:instrText>
      </w:r>
      <w:r w:rsidRPr="005153CF">
        <w:rPr>
          <w:rFonts w:ascii="Times New Roman" w:eastAsia="Times New Roman" w:hAnsi="Times New Roman" w:cs="Times New Roman"/>
          <w:sz w:val="26"/>
          <w:szCs w:val="26"/>
        </w:rPr>
        <w:fldChar w:fldCharType="end">
          <w:numberingChange w:id="12" w:author="Author" w:original="2."/>
        </w:fldChar>
      </w:r>
      <w:r w:rsidRPr="00F14DB5">
        <w:rPr>
          <w:rFonts w:ascii="Times New Roman" w:eastAsia="Times New Roman" w:hAnsi="Times New Roman" w:cs="Times New Roman"/>
          <w:sz w:val="26"/>
          <w:szCs w:val="26"/>
        </w:rPr>
        <w:t xml:space="preserve"> There is no ongoing proceeding involving the registrant’s rights to its trademark; and</w:t>
      </w:r>
    </w:p>
    <w:p w:rsidR="00E35EED" w:rsidRPr="00F14DB5" w:rsidRDefault="00E35EED" w:rsidP="001958B4">
      <w:pPr>
        <w:spacing w:after="240" w:line="240" w:lineRule="auto"/>
        <w:ind w:left="1008" w:hanging="288"/>
        <w:jc w:val="both"/>
        <w:rPr>
          <w:rFonts w:ascii="Times New Roman" w:eastAsia="Times New Roman" w:hAnsi="Times New Roman" w:cs="Times New Roman"/>
          <w:sz w:val="26"/>
          <w:szCs w:val="26"/>
        </w:rPr>
      </w:pP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7 \s 3 </w:instrText>
      </w:r>
      <w:r w:rsidRPr="005153CF">
        <w:rPr>
          <w:rFonts w:ascii="Times New Roman" w:eastAsia="Times New Roman" w:hAnsi="Times New Roman" w:cs="Times New Roman"/>
          <w:sz w:val="26"/>
          <w:szCs w:val="26"/>
        </w:rPr>
        <w:fldChar w:fldCharType="end">
          <w:numberingChange w:id="13" w:author="Author" w:original="3."/>
        </w:fldChar>
      </w:r>
      <w:r w:rsidRPr="00F14DB5">
        <w:rPr>
          <w:rFonts w:ascii="Times New Roman" w:eastAsia="Times New Roman" w:hAnsi="Times New Roman" w:cs="Times New Roman"/>
          <w:sz w:val="26"/>
          <w:szCs w:val="26"/>
        </w:rPr>
        <w:t xml:space="preserve"> The trademark has been in continuous use for the five-year period immediately preceding the execution of the affidavit or declaration.</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Upon the filing (and not the acceptance) of the affidavit or declaration of incontestability, Section 33 of the Lanham Act, </w:t>
      </w:r>
      <w:r w:rsidRPr="00F14DB5">
        <w:rPr>
          <w:rFonts w:ascii="Times New Roman" w:eastAsia="Times New Roman" w:hAnsi="Times New Roman" w:cs="Times New Roman"/>
          <w:i/>
          <w:sz w:val="26"/>
          <w:szCs w:val="26"/>
        </w:rPr>
        <w:t>id</w:t>
      </w:r>
      <w:r w:rsidRPr="00F14DB5">
        <w:rPr>
          <w:rFonts w:ascii="Times New Roman" w:eastAsia="Times New Roman" w:hAnsi="Times New Roman" w:cs="Times New Roman"/>
          <w:sz w:val="26"/>
          <w:szCs w:val="26"/>
        </w:rPr>
        <w:t>. § 1115</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2 </w:instrText>
      </w:r>
      <w:r w:rsidRPr="005153CF">
        <w:rPr>
          <w:rFonts w:ascii="Times New Roman" w:eastAsia="Times New Roman" w:hAnsi="Times New Roman" w:cs="Times New Roman"/>
          <w:sz w:val="26"/>
          <w:szCs w:val="26"/>
        </w:rPr>
        <w:fldChar w:fldCharType="end">
          <w:numberingChange w:id="14" w:author="Author" w:original="(b)"/>
        </w:fldChar>
      </w:r>
      <w:r w:rsidRPr="00F14DB5">
        <w:rPr>
          <w:rFonts w:ascii="Times New Roman" w:eastAsia="Times New Roman" w:hAnsi="Times New Roman" w:cs="Times New Roman"/>
          <w:sz w:val="26"/>
          <w:szCs w:val="26"/>
        </w:rPr>
        <w:t>, provides that the registration is “conclusive evidence of the validity of the registered mark and of the registration of the mark, of the registrant’s ownership of the mark, and of the registrant’s exclusive right to use the registered mark in commerce.” An incontestable registration can still be cancelled on certain grounds, and the registration’s “conclusive” evidentiary significance is subject to certain affirmative defenses, as to both of which the defendant bears the burden of proof.</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Outside of the Eleventh Circuit, there is a pronounced split of authority on the issue of whether a registration that has not yet become incontestable shifts the burden of </w:t>
      </w:r>
      <w:r w:rsidRPr="00F14DB5">
        <w:rPr>
          <w:rFonts w:ascii="Times New Roman" w:eastAsia="Times New Roman" w:hAnsi="Times New Roman" w:cs="Times New Roman"/>
          <w:i/>
          <w:sz w:val="26"/>
          <w:szCs w:val="26"/>
        </w:rPr>
        <w:t>proof</w:t>
      </w:r>
      <w:r w:rsidRPr="00F14DB5">
        <w:rPr>
          <w:rFonts w:ascii="Times New Roman" w:eastAsia="Times New Roman" w:hAnsi="Times New Roman" w:cs="Times New Roman"/>
          <w:sz w:val="26"/>
          <w:szCs w:val="26"/>
        </w:rPr>
        <w:t xml:space="preserve">, or merely the burden of </w:t>
      </w:r>
      <w:r w:rsidRPr="00F14DB5">
        <w:rPr>
          <w:rFonts w:ascii="Times New Roman" w:eastAsia="Times New Roman" w:hAnsi="Times New Roman" w:cs="Times New Roman"/>
          <w:i/>
          <w:sz w:val="26"/>
          <w:szCs w:val="26"/>
        </w:rPr>
        <w:t>production</w:t>
      </w:r>
      <w:r w:rsidRPr="00F14DB5">
        <w:rPr>
          <w:rFonts w:ascii="Times New Roman" w:eastAsia="Times New Roman" w:hAnsi="Times New Roman" w:cs="Times New Roman"/>
          <w:sz w:val="26"/>
          <w:szCs w:val="26"/>
        </w:rPr>
        <w:t xml:space="preserve">, to a defendant challenging the registered mark’s validity. </w:t>
      </w:r>
      <w:r w:rsidRPr="00F14DB5">
        <w:rPr>
          <w:rFonts w:ascii="Times New Roman" w:eastAsia="Times New Roman" w:hAnsi="Times New Roman" w:cs="Times New Roman"/>
          <w:i/>
          <w:sz w:val="26"/>
          <w:szCs w:val="26"/>
        </w:rPr>
        <w:t>Compare Cold War Museum, Inc. v. Cold War Air Museum, Inc.</w:t>
      </w:r>
      <w:r w:rsidRPr="00F14DB5">
        <w:rPr>
          <w:rFonts w:ascii="Times New Roman" w:eastAsia="Times New Roman" w:hAnsi="Times New Roman" w:cs="Times New Roman"/>
          <w:sz w:val="26"/>
          <w:szCs w:val="26"/>
        </w:rPr>
        <w:t xml:space="preserve">, 586 F.3d 1352, 1356 (Fed. Cir. 2009) (shift in burden of proof), </w:t>
      </w:r>
      <w:r w:rsidRPr="00F14DB5">
        <w:rPr>
          <w:rFonts w:ascii="Times New Roman" w:eastAsia="Times New Roman" w:hAnsi="Times New Roman" w:cs="Times New Roman"/>
          <w:i/>
          <w:sz w:val="26"/>
          <w:szCs w:val="26"/>
        </w:rPr>
        <w:t>Aktieselskabet AF 21. November 21 v. Fame Jean, Inc.</w:t>
      </w:r>
      <w:r w:rsidRPr="00F14DB5">
        <w:rPr>
          <w:rFonts w:ascii="Times New Roman" w:eastAsia="Times New Roman" w:hAnsi="Times New Roman" w:cs="Times New Roman"/>
          <w:sz w:val="26"/>
          <w:szCs w:val="26"/>
        </w:rPr>
        <w:t xml:space="preserve">, 525 F.3d 8, 14 (D.C. Cir. 2008) (same), </w:t>
      </w:r>
      <w:r w:rsidRPr="00F14DB5">
        <w:rPr>
          <w:rFonts w:ascii="Times New Roman" w:eastAsia="Times New Roman" w:hAnsi="Times New Roman" w:cs="Times New Roman"/>
          <w:i/>
          <w:sz w:val="26"/>
          <w:szCs w:val="26"/>
        </w:rPr>
        <w:t>Leelanau Wine Cellars, Ltd. v. Black &amp; Red, Inc.</w:t>
      </w:r>
      <w:r w:rsidRPr="00F14DB5">
        <w:rPr>
          <w:rFonts w:ascii="Times New Roman" w:eastAsia="Times New Roman" w:hAnsi="Times New Roman" w:cs="Times New Roman"/>
          <w:sz w:val="26"/>
          <w:szCs w:val="26"/>
        </w:rPr>
        <w:t>, 502 F.3d 504, 514 (6</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2007) (same), </w:t>
      </w:r>
      <w:r w:rsidRPr="00F14DB5">
        <w:rPr>
          <w:rFonts w:ascii="Times New Roman" w:eastAsia="Times New Roman" w:hAnsi="Times New Roman" w:cs="Times New Roman"/>
          <w:i/>
          <w:sz w:val="26"/>
          <w:szCs w:val="26"/>
        </w:rPr>
        <w:t>Colt Defense, LLC v. Bushmaster Firearms, Inc.</w:t>
      </w:r>
      <w:r w:rsidRPr="00F14DB5">
        <w:rPr>
          <w:rFonts w:ascii="Times New Roman" w:eastAsia="Times New Roman" w:hAnsi="Times New Roman" w:cs="Times New Roman"/>
          <w:sz w:val="26"/>
          <w:szCs w:val="26"/>
        </w:rPr>
        <w:t>, 486 F.3d 701, 705 (1</w:t>
      </w:r>
      <w:r w:rsidR="00D046BA" w:rsidRPr="00F14DB5">
        <w:rPr>
          <w:rFonts w:ascii="Times New Roman" w:eastAsia="Times New Roman" w:hAnsi="Times New Roman" w:cs="Times New Roman"/>
          <w:sz w:val="26"/>
          <w:szCs w:val="26"/>
        </w:rPr>
        <w:t>st</w:t>
      </w:r>
      <w:r w:rsidRPr="00F14DB5">
        <w:rPr>
          <w:rFonts w:ascii="Times New Roman" w:eastAsia="Times New Roman" w:hAnsi="Times New Roman" w:cs="Times New Roman"/>
          <w:sz w:val="26"/>
          <w:szCs w:val="26"/>
        </w:rPr>
        <w:t xml:space="preserve"> Cir. 2007) (same), </w:t>
      </w:r>
      <w:r w:rsidRPr="00F14DB5">
        <w:rPr>
          <w:rFonts w:ascii="Times New Roman" w:eastAsia="Times New Roman" w:hAnsi="Times New Roman" w:cs="Times New Roman"/>
          <w:i/>
          <w:sz w:val="26"/>
          <w:szCs w:val="26"/>
        </w:rPr>
        <w:t>and Aluminum Fabricating Co. v. Season-All Window Corp.</w:t>
      </w:r>
      <w:r w:rsidRPr="00F14DB5">
        <w:rPr>
          <w:rFonts w:ascii="Times New Roman" w:eastAsia="Times New Roman" w:hAnsi="Times New Roman" w:cs="Times New Roman"/>
          <w:sz w:val="26"/>
          <w:szCs w:val="26"/>
        </w:rPr>
        <w:t>, 259 F.2d 314, 316 (</w:t>
      </w:r>
      <w:r w:rsidR="00C26F27" w:rsidRPr="00F14DB5">
        <w:rPr>
          <w:rFonts w:ascii="Times New Roman" w:eastAsia="Times New Roman" w:hAnsi="Times New Roman" w:cs="Times New Roman"/>
          <w:sz w:val="26"/>
          <w:szCs w:val="26"/>
        </w:rPr>
        <w:t xml:space="preserve">2d </w:t>
      </w:r>
      <w:r w:rsidRPr="00F14DB5">
        <w:rPr>
          <w:rFonts w:ascii="Times New Roman" w:eastAsia="Times New Roman" w:hAnsi="Times New Roman" w:cs="Times New Roman"/>
          <w:sz w:val="26"/>
          <w:szCs w:val="26"/>
        </w:rPr>
        <w:t>Cir. 1958) (same)</w:t>
      </w:r>
      <w:r w:rsidR="00D046BA"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with OBX-Stock, Inc. v. Bicast, Inc.</w:t>
      </w:r>
      <w:r w:rsidRPr="00F14DB5">
        <w:rPr>
          <w:rFonts w:ascii="Times New Roman" w:eastAsia="Times New Roman" w:hAnsi="Times New Roman" w:cs="Times New Roman"/>
          <w:sz w:val="26"/>
          <w:szCs w:val="26"/>
        </w:rPr>
        <w:t>, 558 F.3d 334, 342 (4</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2009) (shift in burden of production)</w:t>
      </w:r>
      <w:r w:rsidR="00D046BA"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and Custom Vehicles, Inc. v. Forest River, Inc.</w:t>
      </w:r>
      <w:r w:rsidRPr="00F14DB5">
        <w:rPr>
          <w:rFonts w:ascii="Times New Roman" w:eastAsia="Times New Roman" w:hAnsi="Times New Roman" w:cs="Times New Roman"/>
          <w:sz w:val="26"/>
          <w:szCs w:val="26"/>
        </w:rPr>
        <w:t>, 476 F.3d 481, 485 (7</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2007) (same). Under the majority rule, there is no need to distinguish between the evidentiary effect of a registration that has become “incontestable” under Sections 15 and 33 of the Lanham Act, 15 U.S.C. §§ 1065, 1115: Both types of registrations shift the burden of proof on the issue of trademark validity from the </w:t>
      </w:r>
      <w:r w:rsidR="00D046BA" w:rsidRPr="00F14DB5">
        <w:rPr>
          <w:rFonts w:ascii="Times New Roman" w:eastAsia="Times New Roman" w:hAnsi="Times New Roman" w:cs="Times New Roman"/>
          <w:sz w:val="26"/>
          <w:szCs w:val="26"/>
        </w:rPr>
        <w:t>p</w:t>
      </w:r>
      <w:r w:rsidRPr="00F14DB5">
        <w:rPr>
          <w:rFonts w:ascii="Times New Roman" w:eastAsia="Times New Roman" w:hAnsi="Times New Roman" w:cs="Times New Roman"/>
          <w:sz w:val="26"/>
          <w:szCs w:val="26"/>
        </w:rPr>
        <w:t xml:space="preserve">laintiff to the </w:t>
      </w:r>
      <w:r w:rsidR="00D046BA" w:rsidRPr="00F14DB5">
        <w:rPr>
          <w:rFonts w:ascii="Times New Roman" w:eastAsia="Times New Roman" w:hAnsi="Times New Roman" w:cs="Times New Roman"/>
          <w:sz w:val="26"/>
          <w:szCs w:val="26"/>
        </w:rPr>
        <w:t>d</w:t>
      </w:r>
      <w:r w:rsidRPr="00F14DB5">
        <w:rPr>
          <w:rFonts w:ascii="Times New Roman" w:eastAsia="Times New Roman" w:hAnsi="Times New Roman" w:cs="Times New Roman"/>
          <w:sz w:val="26"/>
          <w:szCs w:val="26"/>
        </w:rPr>
        <w:t xml:space="preserve">efendant. In contrast, a registration on the Supplemental Register has no evidentiary effect. </w:t>
      </w:r>
      <w:r w:rsidRPr="00F14DB5">
        <w:rPr>
          <w:rFonts w:ascii="Times New Roman" w:eastAsia="Times New Roman" w:hAnsi="Times New Roman" w:cs="Times New Roman"/>
          <w:i/>
          <w:sz w:val="26"/>
          <w:szCs w:val="26"/>
        </w:rPr>
        <w:t>See, e.g.</w:t>
      </w:r>
      <w:r w:rsidRPr="005153CF">
        <w:rPr>
          <w:rFonts w:ascii="Times New Roman" w:eastAsia="Times New Roman" w:hAnsi="Times New Roman" w:cs="Times New Roman"/>
          <w:sz w:val="26"/>
          <w:szCs w:val="26"/>
        </w:rPr>
        <w:t>,</w:t>
      </w:r>
      <w:r w:rsidRPr="00F14DB5">
        <w:rPr>
          <w:rFonts w:ascii="Times New Roman" w:eastAsia="Times New Roman" w:hAnsi="Times New Roman" w:cs="Times New Roman"/>
          <w:i/>
          <w:sz w:val="26"/>
          <w:szCs w:val="26"/>
        </w:rPr>
        <w:t xml:space="preserve"> ERBE Elektromedizin GmbH v. Canady Tech. LLC</w:t>
      </w:r>
      <w:r w:rsidRPr="00F14DB5">
        <w:rPr>
          <w:rFonts w:ascii="Times New Roman" w:eastAsia="Times New Roman" w:hAnsi="Times New Roman" w:cs="Times New Roman"/>
          <w:sz w:val="26"/>
          <w:szCs w:val="26"/>
        </w:rPr>
        <w:t>, 629 F.3d 1278, 1288 (Fed. Cir. 2010) (applying Third Circuit law).</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lastRenderedPageBreak/>
        <w:t>Nationwide constructive priority is provided for by Section 7</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3 </w:instrText>
      </w:r>
      <w:r w:rsidRPr="005153CF">
        <w:rPr>
          <w:rFonts w:ascii="Times New Roman" w:eastAsia="Times New Roman" w:hAnsi="Times New Roman" w:cs="Times New Roman"/>
          <w:sz w:val="26"/>
          <w:szCs w:val="26"/>
        </w:rPr>
        <w:fldChar w:fldCharType="end">
          <w:numberingChange w:id="15" w:author="Author" w:original="(c)"/>
        </w:fldChar>
      </w:r>
      <w:r w:rsidRPr="00F14DB5">
        <w:rPr>
          <w:rFonts w:ascii="Times New Roman" w:eastAsia="Times New Roman" w:hAnsi="Times New Roman" w:cs="Times New Roman"/>
          <w:sz w:val="26"/>
          <w:szCs w:val="26"/>
        </w:rPr>
        <w:t xml:space="preserve"> of the Lanham Act, 15 U.S.C. § 1057</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3 </w:instrText>
      </w:r>
      <w:r w:rsidRPr="005153CF">
        <w:rPr>
          <w:rFonts w:ascii="Times New Roman" w:eastAsia="Times New Roman" w:hAnsi="Times New Roman" w:cs="Times New Roman"/>
          <w:sz w:val="26"/>
          <w:szCs w:val="26"/>
        </w:rPr>
        <w:fldChar w:fldCharType="end">
          <w:numberingChange w:id="16" w:author="Author" w:original="(c)"/>
        </w:fldChar>
      </w:r>
      <w:r w:rsidRPr="00F14DB5">
        <w:rPr>
          <w:rFonts w:ascii="Times New Roman" w:eastAsia="Times New Roman" w:hAnsi="Times New Roman" w:cs="Times New Roman"/>
          <w:sz w:val="26"/>
          <w:szCs w:val="26"/>
        </w:rPr>
        <w:t xml:space="preserve"> (20</w:t>
      </w:r>
      <w:r w:rsidR="00D046BA" w:rsidRPr="00F14DB5">
        <w:rPr>
          <w:rFonts w:ascii="Times New Roman" w:eastAsia="Times New Roman" w:hAnsi="Times New Roman" w:cs="Times New Roman"/>
          <w:sz w:val="26"/>
          <w:szCs w:val="26"/>
        </w:rPr>
        <w:t>12</w:t>
      </w:r>
      <w:r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See generally Tana v. Dantanna’s</w:t>
      </w:r>
      <w:r w:rsidRPr="00F14DB5">
        <w:rPr>
          <w:rFonts w:ascii="Times New Roman" w:eastAsia="Times New Roman" w:hAnsi="Times New Roman" w:cs="Times New Roman"/>
          <w:sz w:val="26"/>
          <w:szCs w:val="26"/>
        </w:rPr>
        <w:t>, 611 F.3d 767, 780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2010); </w:t>
      </w:r>
      <w:r w:rsidRPr="00F14DB5">
        <w:rPr>
          <w:rFonts w:ascii="Times New Roman" w:eastAsia="Times New Roman" w:hAnsi="Times New Roman" w:cs="Times New Roman"/>
          <w:i/>
          <w:sz w:val="26"/>
          <w:szCs w:val="26"/>
        </w:rPr>
        <w:t>John R. Thompson Co. v. Holloway</w:t>
      </w:r>
      <w:r w:rsidRPr="00F14DB5">
        <w:rPr>
          <w:rFonts w:ascii="Times New Roman" w:eastAsia="Times New Roman" w:hAnsi="Times New Roman" w:cs="Times New Roman"/>
          <w:sz w:val="26"/>
          <w:szCs w:val="26"/>
        </w:rPr>
        <w:t>, 366 F.2d 108, 115 (5</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1966).</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Nationwide constructive notice is provided for by Section 22 of the Lanham Act, 15 U.S.C. § 1072 (20</w:t>
      </w:r>
      <w:r w:rsidR="00D046BA" w:rsidRPr="00F14DB5">
        <w:rPr>
          <w:rFonts w:ascii="Times New Roman" w:eastAsia="Times New Roman" w:hAnsi="Times New Roman" w:cs="Times New Roman"/>
          <w:sz w:val="26"/>
          <w:szCs w:val="26"/>
        </w:rPr>
        <w:t>12</w:t>
      </w:r>
      <w:r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 xml:space="preserve">See generally </w:t>
      </w:r>
      <w:r w:rsidR="00D046BA" w:rsidRPr="00F14DB5">
        <w:rPr>
          <w:rFonts w:ascii="Times New Roman" w:hAnsi="Times New Roman" w:cs="Times New Roman"/>
          <w:i/>
          <w:sz w:val="26"/>
          <w:szCs w:val="26"/>
        </w:rPr>
        <w:t>Park ‘N Fly, Inc. v. Dollar Park &amp; Fly, Inc.</w:t>
      </w:r>
      <w:r w:rsidR="00D046BA" w:rsidRPr="00F14DB5">
        <w:rPr>
          <w:rFonts w:ascii="Times New Roman" w:hAnsi="Times New Roman" w:cs="Times New Roman"/>
          <w:sz w:val="26"/>
          <w:szCs w:val="26"/>
        </w:rPr>
        <w:t xml:space="preserve">, 469 U.S. 189, 199-200, </w:t>
      </w:r>
      <w:r w:rsidR="00D046BA" w:rsidRPr="00F14DB5">
        <w:rPr>
          <w:rFonts w:ascii="Times New Roman" w:hAnsi="Times New Roman" w:cs="Times New Roman"/>
          <w:color w:val="252525"/>
          <w:sz w:val="26"/>
          <w:szCs w:val="26"/>
        </w:rPr>
        <w:t>105 S. Ct. 658</w:t>
      </w:r>
      <w:r w:rsidR="00D046BA" w:rsidRPr="00F14DB5">
        <w:rPr>
          <w:rFonts w:ascii="Times New Roman" w:hAnsi="Times New Roman" w:cs="Times New Roman"/>
          <w:sz w:val="26"/>
          <w:szCs w:val="26"/>
        </w:rPr>
        <w:t xml:space="preserve">, 664, 83 L. Ed. 2d 582 (1985); </w:t>
      </w:r>
      <w:r w:rsidRPr="00F14DB5">
        <w:rPr>
          <w:rFonts w:ascii="Times New Roman" w:eastAsia="Times New Roman" w:hAnsi="Times New Roman" w:cs="Times New Roman"/>
          <w:i/>
          <w:sz w:val="26"/>
          <w:szCs w:val="26"/>
        </w:rPr>
        <w:t>John R. Thompson Co.</w:t>
      </w:r>
      <w:r w:rsidRPr="00F14DB5">
        <w:rPr>
          <w:rFonts w:ascii="Times New Roman" w:eastAsia="Times New Roman" w:hAnsi="Times New Roman" w:cs="Times New Roman"/>
          <w:sz w:val="26"/>
          <w:szCs w:val="26"/>
        </w:rPr>
        <w:t xml:space="preserve">, 366 F.2d at 115; </w:t>
      </w:r>
      <w:r w:rsidRPr="00F14DB5">
        <w:rPr>
          <w:rFonts w:ascii="Times New Roman" w:eastAsia="Times New Roman" w:hAnsi="Times New Roman" w:cs="Times New Roman"/>
          <w:i/>
          <w:sz w:val="26"/>
          <w:szCs w:val="26"/>
        </w:rPr>
        <w:t>Faciane v. Starner</w:t>
      </w:r>
      <w:r w:rsidRPr="00F14DB5">
        <w:rPr>
          <w:rFonts w:ascii="Times New Roman" w:eastAsia="Times New Roman" w:hAnsi="Times New Roman" w:cs="Times New Roman"/>
          <w:sz w:val="26"/>
          <w:szCs w:val="26"/>
        </w:rPr>
        <w:t>, 230 F.2d 732, 738 n.12 (5</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1956).</w:t>
      </w:r>
    </w:p>
    <w:p w:rsidR="00E35EED" w:rsidRPr="00F14DB5" w:rsidRDefault="00E35EED" w:rsidP="001958B4">
      <w:pPr>
        <w:spacing w:after="240" w:line="240" w:lineRule="auto"/>
        <w:jc w:val="center"/>
        <w:rPr>
          <w:rFonts w:ascii="Times New Roman" w:eastAsia="Times New Roman" w:hAnsi="Times New Roman" w:cs="Times New Roman"/>
          <w:b/>
          <w:sz w:val="26"/>
          <w:szCs w:val="26"/>
          <w:u w:val="single"/>
        </w:rPr>
      </w:pPr>
      <w:r w:rsidRPr="00F14DB5">
        <w:rPr>
          <w:rFonts w:ascii="Times New Roman" w:eastAsia="Times New Roman" w:hAnsi="Times New Roman" w:cs="Times New Roman"/>
          <w:b/>
          <w:sz w:val="26"/>
          <w:szCs w:val="26"/>
          <w:u w:val="single"/>
        </w:rPr>
        <w:t>Infringement</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General Introductory Charge</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The statutory basis for the federal tort of the infringement of a registered trademark is Section 32</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4 \s 1 </w:instrText>
      </w:r>
      <w:r w:rsidRPr="005153CF">
        <w:rPr>
          <w:rFonts w:ascii="Times New Roman" w:eastAsia="Times New Roman" w:hAnsi="Times New Roman" w:cs="Times New Roman"/>
          <w:sz w:val="26"/>
          <w:szCs w:val="26"/>
        </w:rPr>
        <w:fldChar w:fldCharType="end">
          <w:numberingChange w:id="17" w:author="Author" w:original="(1)"/>
        </w:fldChar>
      </w:r>
      <w:r w:rsidRPr="00F14DB5">
        <w:rPr>
          <w:rFonts w:ascii="Times New Roman" w:eastAsia="Times New Roman" w:hAnsi="Times New Roman" w:cs="Times New Roman"/>
          <w:sz w:val="26"/>
          <w:szCs w:val="26"/>
        </w:rPr>
        <w:t xml:space="preserve"> of the Lanham Act, 15 U.S.C. § 1114 (20</w:t>
      </w:r>
      <w:r w:rsidR="00D046BA" w:rsidRPr="00F14DB5">
        <w:rPr>
          <w:rFonts w:ascii="Times New Roman" w:eastAsia="Times New Roman" w:hAnsi="Times New Roman" w:cs="Times New Roman"/>
          <w:sz w:val="26"/>
          <w:szCs w:val="26"/>
        </w:rPr>
        <w:t>12</w:t>
      </w:r>
      <w:r w:rsidRPr="00F14DB5">
        <w:rPr>
          <w:rFonts w:ascii="Times New Roman" w:eastAsia="Times New Roman" w:hAnsi="Times New Roman" w:cs="Times New Roman"/>
          <w:sz w:val="26"/>
          <w:szCs w:val="26"/>
        </w:rPr>
        <w:t>), which provides that:</w:t>
      </w:r>
    </w:p>
    <w:p w:rsidR="00E35EED" w:rsidRPr="00F14DB5" w:rsidRDefault="00E35EED" w:rsidP="001958B4">
      <w:pPr>
        <w:spacing w:after="240" w:line="240" w:lineRule="auto"/>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Any person who shall, without the consent of the registrant</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1 </w:instrText>
      </w:r>
      <w:r w:rsidRPr="005153CF">
        <w:rPr>
          <w:rFonts w:ascii="Times New Roman" w:eastAsia="Times New Roman" w:hAnsi="Times New Roman" w:cs="Times New Roman"/>
          <w:sz w:val="26"/>
          <w:szCs w:val="26"/>
        </w:rPr>
        <w:fldChar w:fldCharType="end">
          <w:numberingChange w:id="18" w:author="Author" w:original="(a)"/>
        </w:fldChar>
      </w:r>
      <w:r w:rsidRPr="00F14DB5">
        <w:rPr>
          <w:rFonts w:ascii="Times New Roman" w:eastAsia="Times New Roman" w:hAnsi="Times New Roman" w:cs="Times New Roman"/>
          <w:sz w:val="26"/>
          <w:szCs w:val="26"/>
        </w:rPr>
        <w:t xml:space="preserve"> use in commerce any reproduction, counterfeit, copy, or colorable imitation of a registered mark in connection with the sale, offering for sale, distribution, or advertising of any goods or services on or in connection with which such use is likely to cause confusion, or to cause mistake, or to deceive; or</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2 </w:instrText>
      </w:r>
      <w:r w:rsidRPr="005153CF">
        <w:rPr>
          <w:rFonts w:ascii="Times New Roman" w:eastAsia="Times New Roman" w:hAnsi="Times New Roman" w:cs="Times New Roman"/>
          <w:sz w:val="26"/>
          <w:szCs w:val="26"/>
        </w:rPr>
        <w:fldChar w:fldCharType="end">
          <w:numberingChange w:id="19" w:author="Author" w:original="(b)"/>
        </w:fldChar>
      </w:r>
      <w:r w:rsidRPr="00F14DB5">
        <w:rPr>
          <w:rFonts w:ascii="Times New Roman" w:eastAsia="Times New Roman" w:hAnsi="Times New Roman" w:cs="Times New Roman"/>
          <w:sz w:val="26"/>
          <w:szCs w:val="26"/>
        </w:rPr>
        <w:t xml:space="preserve"> reproduce, counterfeit, copy, or colorably imitate a registered mark and apply such reproduction, counterfeit, copy, or colorable imitation to labels, signs, prints, packages, wrappers, receptacles or advertisements intended to be used in commerce upon or in connection with the sale, offering for sale, distribution, or advertising of goods or services on or in connection with which such use is likely to cause confusion, or to cause mistake, or to deceive, shall be liable in a civil action by the registrant for the remedies hereinafter provided.</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The “touchstone” of a finding of infringement under Section 32 “is not simply whether there is an unauthorized use of a protected mark, but whether such use is likely to cause customer confusion.” </w:t>
      </w:r>
      <w:r w:rsidRPr="00F14DB5">
        <w:rPr>
          <w:rFonts w:ascii="Times New Roman" w:eastAsia="Times New Roman" w:hAnsi="Times New Roman" w:cs="Times New Roman"/>
          <w:i/>
          <w:sz w:val="26"/>
          <w:szCs w:val="26"/>
        </w:rPr>
        <w:t>Custom Mfg. &amp; Eng’g, Inc. v. Midway Servs., Inc.</w:t>
      </w:r>
      <w:r w:rsidRPr="00F14DB5">
        <w:rPr>
          <w:rFonts w:ascii="Times New Roman" w:eastAsia="Times New Roman" w:hAnsi="Times New Roman" w:cs="Times New Roman"/>
          <w:sz w:val="26"/>
          <w:szCs w:val="26"/>
        </w:rPr>
        <w:t>, 508 F.3d 641, 647 (11</w:t>
      </w:r>
      <w:r w:rsidRPr="00F14DB5">
        <w:rPr>
          <w:rFonts w:ascii="Times New Roman" w:eastAsia="Times New Roman" w:hAnsi="Times New Roman" w:cs="Times New Roman"/>
          <w:sz w:val="26"/>
          <w:szCs w:val="26"/>
          <w:vertAlign w:val="superscript"/>
        </w:rPr>
        <w:t>th</w:t>
      </w:r>
      <w:r w:rsidRPr="00F14DB5">
        <w:rPr>
          <w:rFonts w:ascii="Times New Roman" w:eastAsia="Times New Roman" w:hAnsi="Times New Roman" w:cs="Times New Roman"/>
          <w:sz w:val="26"/>
          <w:szCs w:val="26"/>
        </w:rPr>
        <w:t xml:space="preserve"> Cir. 2009), </w:t>
      </w:r>
      <w:r w:rsidRPr="00F14DB5">
        <w:rPr>
          <w:rFonts w:ascii="Times New Roman" w:eastAsia="Times New Roman" w:hAnsi="Times New Roman" w:cs="Times New Roman"/>
          <w:i/>
          <w:sz w:val="26"/>
          <w:szCs w:val="26"/>
        </w:rPr>
        <w:t>Angel Flight of Ga., Inc. v. Angel Flight Am., Inc.</w:t>
      </w:r>
      <w:r w:rsidRPr="00F14DB5">
        <w:rPr>
          <w:rFonts w:ascii="Times New Roman" w:eastAsia="Times New Roman" w:hAnsi="Times New Roman" w:cs="Times New Roman"/>
          <w:sz w:val="26"/>
          <w:szCs w:val="26"/>
        </w:rPr>
        <w:t>, 522 F.3d 1200, 1205 (11</w:t>
      </w:r>
      <w:r w:rsidRPr="00F14DB5">
        <w:rPr>
          <w:rFonts w:ascii="Times New Roman" w:eastAsia="Times New Roman" w:hAnsi="Times New Roman" w:cs="Times New Roman"/>
          <w:sz w:val="26"/>
          <w:szCs w:val="26"/>
          <w:vertAlign w:val="superscript"/>
        </w:rPr>
        <w:t>th</w:t>
      </w:r>
      <w:r w:rsidRPr="00F14DB5">
        <w:rPr>
          <w:rFonts w:ascii="Times New Roman" w:eastAsia="Times New Roman" w:hAnsi="Times New Roman" w:cs="Times New Roman"/>
          <w:sz w:val="26"/>
          <w:szCs w:val="26"/>
        </w:rPr>
        <w:t xml:space="preserve"> Cir. 2007); </w:t>
      </w:r>
      <w:r w:rsidRPr="00F14DB5">
        <w:rPr>
          <w:rFonts w:ascii="Times New Roman" w:eastAsia="Times New Roman" w:hAnsi="Times New Roman" w:cs="Times New Roman"/>
          <w:i/>
          <w:sz w:val="26"/>
          <w:szCs w:val="26"/>
        </w:rPr>
        <w:t>see also Jellibeans, Inc. v. Skating Clubs of Ga., Inc.</w:t>
      </w:r>
      <w:r w:rsidRPr="00F14DB5">
        <w:rPr>
          <w:rFonts w:ascii="Times New Roman" w:eastAsia="Times New Roman" w:hAnsi="Times New Roman" w:cs="Times New Roman"/>
          <w:sz w:val="26"/>
          <w:szCs w:val="26"/>
        </w:rPr>
        <w:t>, 716 F.2d 833, 839 (11</w:t>
      </w:r>
      <w:r w:rsidRPr="00F14DB5">
        <w:rPr>
          <w:rFonts w:ascii="Times New Roman" w:eastAsia="Times New Roman" w:hAnsi="Times New Roman" w:cs="Times New Roman"/>
          <w:sz w:val="26"/>
          <w:szCs w:val="26"/>
          <w:vertAlign w:val="superscript"/>
        </w:rPr>
        <w:t>th</w:t>
      </w:r>
      <w:r w:rsidRPr="00F14DB5">
        <w:rPr>
          <w:rFonts w:ascii="Times New Roman" w:eastAsia="Times New Roman" w:hAnsi="Times New Roman" w:cs="Times New Roman"/>
          <w:sz w:val="26"/>
          <w:szCs w:val="26"/>
        </w:rPr>
        <w:t xml:space="preserve"> Cir. 1983) (test for service mark infringement is whether or not the offending mark is “likely to cause confusion”).</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The infringement analysis in these charges is the same for word marks, service marks, certification marks, collective marks, logos and trade dress. This is meant to promote a more consistent approach to the analysis and is believed by the drafters of this charge to be more consistent with the case authority. This approach varies from other jury charge sources. </w:t>
      </w:r>
      <w:r w:rsidRPr="00F14DB5">
        <w:rPr>
          <w:rFonts w:ascii="Times New Roman" w:eastAsia="Times New Roman" w:hAnsi="Times New Roman" w:cs="Times New Roman"/>
          <w:i/>
          <w:sz w:val="26"/>
          <w:szCs w:val="26"/>
        </w:rPr>
        <w:t>See</w:t>
      </w:r>
      <w:r w:rsidR="00D046BA" w:rsidRPr="00F14DB5">
        <w:rPr>
          <w:rFonts w:ascii="Times New Roman" w:eastAsia="Times New Roman" w:hAnsi="Times New Roman" w:cs="Times New Roman"/>
          <w:i/>
          <w:sz w:val="26"/>
          <w:szCs w:val="26"/>
        </w:rPr>
        <w:t>,</w:t>
      </w:r>
      <w:r w:rsidR="00C26F27" w:rsidRPr="00F14DB5">
        <w:rPr>
          <w:rFonts w:ascii="Times New Roman" w:eastAsia="Times New Roman" w:hAnsi="Times New Roman" w:cs="Times New Roman"/>
          <w:i/>
          <w:sz w:val="26"/>
          <w:szCs w:val="26"/>
        </w:rPr>
        <w:t xml:space="preserve"> </w:t>
      </w:r>
      <w:r w:rsidRPr="00F14DB5">
        <w:rPr>
          <w:rFonts w:ascii="Times New Roman" w:eastAsia="Times New Roman" w:hAnsi="Times New Roman" w:cs="Times New Roman"/>
          <w:i/>
          <w:sz w:val="26"/>
          <w:szCs w:val="26"/>
        </w:rPr>
        <w:t>e.g.</w:t>
      </w:r>
      <w:r w:rsidRPr="005153CF">
        <w:rPr>
          <w:rFonts w:ascii="Times New Roman" w:eastAsia="Times New Roman" w:hAnsi="Times New Roman" w:cs="Times New Roman"/>
          <w:sz w:val="26"/>
          <w:szCs w:val="26"/>
        </w:rPr>
        <w:t>,</w:t>
      </w:r>
      <w:r w:rsidRPr="00F14DB5">
        <w:rPr>
          <w:rFonts w:ascii="Times New Roman" w:eastAsia="Times New Roman" w:hAnsi="Times New Roman" w:cs="Times New Roman"/>
          <w:i/>
          <w:sz w:val="26"/>
          <w:szCs w:val="26"/>
        </w:rPr>
        <w:t xml:space="preserve"> </w:t>
      </w:r>
      <w:r w:rsidR="00D046BA" w:rsidRPr="00F14DB5">
        <w:rPr>
          <w:rFonts w:ascii="Times New Roman" w:eastAsia="Calibri" w:hAnsi="Times New Roman" w:cs="Times New Roman"/>
          <w:sz w:val="26"/>
          <w:szCs w:val="26"/>
        </w:rPr>
        <w:t>American Bar Association Section of Litigation,</w:t>
      </w:r>
      <w:r w:rsidR="00D046BA" w:rsidRPr="00F14DB5">
        <w:rPr>
          <w:rFonts w:ascii="Times New Roman" w:eastAsia="Century Schoolbook" w:hAnsi="Times New Roman" w:cs="Times New Roman"/>
          <w:i/>
          <w:sz w:val="26"/>
          <w:szCs w:val="26"/>
        </w:rPr>
        <w:t xml:space="preserve"> </w:t>
      </w:r>
      <w:r w:rsidRPr="00F14DB5">
        <w:rPr>
          <w:rFonts w:ascii="Times New Roman" w:eastAsia="Times New Roman" w:hAnsi="Times New Roman" w:cs="Times New Roman"/>
          <w:i/>
          <w:sz w:val="26"/>
          <w:szCs w:val="26"/>
        </w:rPr>
        <w:t xml:space="preserve">Model Jury </w:t>
      </w:r>
      <w:r w:rsidRPr="00F14DB5">
        <w:rPr>
          <w:rFonts w:ascii="Times New Roman" w:eastAsia="Times New Roman" w:hAnsi="Times New Roman" w:cs="Times New Roman"/>
          <w:i/>
          <w:sz w:val="26"/>
          <w:szCs w:val="26"/>
        </w:rPr>
        <w:lastRenderedPageBreak/>
        <w:t>Instructions: Copyright, Trademark and Trade Dress Litigation</w:t>
      </w:r>
      <w:r w:rsidR="00D046BA"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sz w:val="26"/>
          <w:szCs w:val="26"/>
        </w:rPr>
        <w:t>(2008).</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Likelihood of Confusion: Seven-Factor Test</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This is the test most commonly applied for direct infringement, in which the </w:t>
      </w:r>
      <w:r w:rsidR="00D046BA" w:rsidRPr="00F14DB5">
        <w:rPr>
          <w:rFonts w:ascii="Times New Roman" w:eastAsia="Times New Roman" w:hAnsi="Times New Roman" w:cs="Times New Roman"/>
          <w:sz w:val="26"/>
          <w:szCs w:val="26"/>
        </w:rPr>
        <w:t>d</w:t>
      </w:r>
      <w:r w:rsidRPr="00F14DB5">
        <w:rPr>
          <w:rFonts w:ascii="Times New Roman" w:eastAsia="Times New Roman" w:hAnsi="Times New Roman" w:cs="Times New Roman"/>
          <w:sz w:val="26"/>
          <w:szCs w:val="26"/>
        </w:rPr>
        <w:t xml:space="preserve">efendant is using an allegedly confusingly similar trademark in connection with its own goods. There are many Eleventh Circuit and former Fifth Circuit cases applying the seven-factor test set forth in these instructions. </w:t>
      </w:r>
      <w:r w:rsidRPr="00F14DB5">
        <w:rPr>
          <w:rFonts w:ascii="Times New Roman" w:eastAsia="Times New Roman" w:hAnsi="Times New Roman" w:cs="Times New Roman"/>
          <w:i/>
          <w:sz w:val="26"/>
          <w:szCs w:val="26"/>
        </w:rPr>
        <w:t>See, e.g.</w:t>
      </w:r>
      <w:r w:rsidRPr="005153CF">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Frehling Enters. v. Int’l Select Grp.</w:t>
      </w:r>
      <w:r w:rsidRPr="00F14DB5">
        <w:rPr>
          <w:rFonts w:ascii="Times New Roman" w:eastAsia="Times New Roman" w:hAnsi="Times New Roman" w:cs="Times New Roman"/>
          <w:sz w:val="26"/>
          <w:szCs w:val="26"/>
        </w:rPr>
        <w:t>, 192 F.3d 1330, 1335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1999); </w:t>
      </w:r>
      <w:r w:rsidRPr="00F14DB5">
        <w:rPr>
          <w:rFonts w:ascii="Times New Roman" w:eastAsia="Times New Roman" w:hAnsi="Times New Roman" w:cs="Times New Roman"/>
          <w:i/>
          <w:sz w:val="26"/>
          <w:szCs w:val="26"/>
        </w:rPr>
        <w:t>Tally-Ho, Inc. v. Coast Cmty. Coll. Dist.</w:t>
      </w:r>
      <w:r w:rsidRPr="00F14DB5">
        <w:rPr>
          <w:rFonts w:ascii="Times New Roman" w:eastAsia="Times New Roman" w:hAnsi="Times New Roman" w:cs="Times New Roman"/>
          <w:sz w:val="26"/>
          <w:szCs w:val="26"/>
        </w:rPr>
        <w:t>, 889 F.2d 1018, 1027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1989), </w:t>
      </w:r>
      <w:r w:rsidRPr="00F14DB5">
        <w:rPr>
          <w:rFonts w:ascii="Times New Roman" w:eastAsia="Times New Roman" w:hAnsi="Times New Roman" w:cs="Times New Roman"/>
          <w:i/>
          <w:sz w:val="26"/>
          <w:szCs w:val="26"/>
        </w:rPr>
        <w:t>Dieter v. B &amp; H Indus. of Sw. Fla., Inc.</w:t>
      </w:r>
      <w:r w:rsidRPr="00F14DB5">
        <w:rPr>
          <w:rFonts w:ascii="Times New Roman" w:eastAsia="Times New Roman" w:hAnsi="Times New Roman" w:cs="Times New Roman"/>
          <w:sz w:val="26"/>
          <w:szCs w:val="26"/>
        </w:rPr>
        <w:t>, 880 F.2d 322, 326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1989); </w:t>
      </w:r>
      <w:r w:rsidRPr="00F14DB5">
        <w:rPr>
          <w:rFonts w:ascii="Times New Roman" w:eastAsia="Times New Roman" w:hAnsi="Times New Roman" w:cs="Times New Roman"/>
          <w:i/>
          <w:sz w:val="26"/>
          <w:szCs w:val="26"/>
        </w:rPr>
        <w:t>Freedom Sav. &amp; Loan Ass’n v. Way</w:t>
      </w:r>
      <w:r w:rsidRPr="00F14DB5">
        <w:rPr>
          <w:rFonts w:ascii="Times New Roman" w:eastAsia="Times New Roman" w:hAnsi="Times New Roman" w:cs="Times New Roman"/>
          <w:sz w:val="26"/>
          <w:szCs w:val="26"/>
        </w:rPr>
        <w:t>, 757 F.2d 1176, 1182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1985); </w:t>
      </w:r>
      <w:r w:rsidRPr="00F14DB5">
        <w:rPr>
          <w:rFonts w:ascii="Times New Roman" w:eastAsia="Times New Roman" w:hAnsi="Times New Roman" w:cs="Times New Roman"/>
          <w:i/>
          <w:sz w:val="26"/>
          <w:szCs w:val="26"/>
        </w:rPr>
        <w:t>Univ. of Ga. Athletic Ass’n v. Laite</w:t>
      </w:r>
      <w:r w:rsidRPr="00F14DB5">
        <w:rPr>
          <w:rFonts w:ascii="Times New Roman" w:eastAsia="Times New Roman" w:hAnsi="Times New Roman" w:cs="Times New Roman"/>
          <w:sz w:val="26"/>
          <w:szCs w:val="26"/>
        </w:rPr>
        <w:t>, 756 F.2d 1535, 1542-43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1985); </w:t>
      </w:r>
      <w:r w:rsidRPr="00F14DB5">
        <w:rPr>
          <w:rFonts w:ascii="Times New Roman" w:eastAsia="Times New Roman" w:hAnsi="Times New Roman" w:cs="Times New Roman"/>
          <w:i/>
          <w:sz w:val="26"/>
          <w:szCs w:val="26"/>
        </w:rPr>
        <w:t>E. Remy Martin &amp; Co. v. Shaw-Ross, Int’l Imps.</w:t>
      </w:r>
      <w:r w:rsidRPr="00F14DB5">
        <w:rPr>
          <w:rFonts w:ascii="Times New Roman" w:eastAsia="Times New Roman" w:hAnsi="Times New Roman" w:cs="Times New Roman"/>
          <w:sz w:val="26"/>
          <w:szCs w:val="26"/>
        </w:rPr>
        <w:t>, 756 F.2d 1525, 1530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1985); </w:t>
      </w:r>
      <w:r w:rsidRPr="00F14DB5">
        <w:rPr>
          <w:rFonts w:ascii="Times New Roman" w:eastAsia="Times New Roman" w:hAnsi="Times New Roman" w:cs="Times New Roman"/>
          <w:i/>
          <w:sz w:val="26"/>
          <w:szCs w:val="26"/>
        </w:rPr>
        <w:t>Wesco Mfg. v. Tropical Attractions of Palm Beach</w:t>
      </w:r>
      <w:r w:rsidRPr="00F14DB5">
        <w:rPr>
          <w:rFonts w:ascii="Times New Roman" w:eastAsia="Times New Roman" w:hAnsi="Times New Roman" w:cs="Times New Roman"/>
          <w:sz w:val="26"/>
          <w:szCs w:val="26"/>
        </w:rPr>
        <w:t>, 833 F.2d 1484, 1488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1984); </w:t>
      </w:r>
      <w:r w:rsidRPr="00F14DB5">
        <w:rPr>
          <w:rFonts w:ascii="Times New Roman" w:eastAsia="Times New Roman" w:hAnsi="Times New Roman" w:cs="Times New Roman"/>
          <w:i/>
          <w:sz w:val="26"/>
          <w:szCs w:val="26"/>
        </w:rPr>
        <w:t>Roto-Rooter Corp. v. O’Neal</w:t>
      </w:r>
      <w:r w:rsidRPr="00F14DB5">
        <w:rPr>
          <w:rFonts w:ascii="Times New Roman" w:eastAsia="Times New Roman" w:hAnsi="Times New Roman" w:cs="Times New Roman"/>
          <w:sz w:val="26"/>
          <w:szCs w:val="26"/>
        </w:rPr>
        <w:t>, 513 F.2d 44, 45-46 (5</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1975). Nevertheless, the Eleventh Circuit has allowed the consideration of other factors where appropriate. </w:t>
      </w:r>
      <w:r w:rsidRPr="00F14DB5">
        <w:rPr>
          <w:rFonts w:ascii="Times New Roman" w:eastAsia="Times New Roman" w:hAnsi="Times New Roman" w:cs="Times New Roman"/>
          <w:i/>
          <w:sz w:val="26"/>
          <w:szCs w:val="26"/>
        </w:rPr>
        <w:t>See, e.g.</w:t>
      </w:r>
      <w:r w:rsidRPr="005153CF">
        <w:rPr>
          <w:rFonts w:ascii="Times New Roman" w:eastAsia="Times New Roman" w:hAnsi="Times New Roman" w:cs="Times New Roman"/>
          <w:sz w:val="26"/>
          <w:szCs w:val="26"/>
        </w:rPr>
        <w:t>,</w:t>
      </w:r>
      <w:r w:rsidRPr="00F14DB5">
        <w:rPr>
          <w:rFonts w:ascii="Times New Roman" w:eastAsia="Times New Roman" w:hAnsi="Times New Roman" w:cs="Times New Roman"/>
          <w:i/>
          <w:sz w:val="26"/>
          <w:szCs w:val="26"/>
        </w:rPr>
        <w:t xml:space="preserve"> Tana v. Dantanna’s</w:t>
      </w:r>
      <w:r w:rsidRPr="00F14DB5">
        <w:rPr>
          <w:rFonts w:ascii="Times New Roman" w:eastAsia="Times New Roman" w:hAnsi="Times New Roman" w:cs="Times New Roman"/>
          <w:sz w:val="26"/>
          <w:szCs w:val="26"/>
        </w:rPr>
        <w:t>, 611 F.3d 767, 780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2010) (“Our circuit has recognized that new factors may merit consideration in determining whether there is a likelihood of confusion.” (internal quotation marks omitted)); </w:t>
      </w:r>
      <w:r w:rsidRPr="00F14DB5">
        <w:rPr>
          <w:rFonts w:ascii="Times New Roman" w:eastAsia="Times New Roman" w:hAnsi="Times New Roman" w:cs="Times New Roman"/>
          <w:i/>
          <w:sz w:val="26"/>
          <w:szCs w:val="26"/>
        </w:rPr>
        <w:t>accord Swatch Watch, S.A. v. Taxor, Inc.</w:t>
      </w:r>
      <w:r w:rsidRPr="00F14DB5">
        <w:rPr>
          <w:rFonts w:ascii="Times New Roman" w:eastAsia="Times New Roman" w:hAnsi="Times New Roman" w:cs="Times New Roman"/>
          <w:sz w:val="26"/>
          <w:szCs w:val="26"/>
        </w:rPr>
        <w:t>, 785 F.2d 956, 958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1986). Examples of those additional factors include the degree of care exercised by purchasers of the parties’ goods and services, </w:t>
      </w:r>
      <w:r w:rsidRPr="00F14DB5">
        <w:rPr>
          <w:rFonts w:ascii="Times New Roman" w:eastAsia="Times New Roman" w:hAnsi="Times New Roman" w:cs="Times New Roman"/>
          <w:i/>
          <w:sz w:val="26"/>
          <w:szCs w:val="26"/>
        </w:rPr>
        <w:t>see Armstrong Cork Co. v. World Carpets, Inc.</w:t>
      </w:r>
      <w:r w:rsidRPr="00F14DB5">
        <w:rPr>
          <w:rFonts w:ascii="Times New Roman" w:eastAsia="Times New Roman" w:hAnsi="Times New Roman" w:cs="Times New Roman"/>
          <w:sz w:val="26"/>
          <w:szCs w:val="26"/>
        </w:rPr>
        <w:t>, 597 F.2d 496, 504 n.10 (5</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1979), a prior affiliation between the parties, </w:t>
      </w:r>
      <w:r w:rsidRPr="00F14DB5">
        <w:rPr>
          <w:rFonts w:ascii="Times New Roman" w:eastAsia="Times New Roman" w:hAnsi="Times New Roman" w:cs="Times New Roman"/>
          <w:i/>
          <w:sz w:val="26"/>
          <w:szCs w:val="26"/>
        </w:rPr>
        <w:t>see Prof’l Golfers Ass’n v. Bankers Life &amp; Cas. Co.</w:t>
      </w:r>
      <w:r w:rsidRPr="00F14DB5">
        <w:rPr>
          <w:rFonts w:ascii="Times New Roman" w:eastAsia="Times New Roman" w:hAnsi="Times New Roman" w:cs="Times New Roman"/>
          <w:sz w:val="26"/>
          <w:szCs w:val="26"/>
        </w:rPr>
        <w:t>, 514 F.2d 665, 670 (5</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1975), the </w:t>
      </w:r>
      <w:r w:rsidR="00D046BA" w:rsidRPr="00F14DB5">
        <w:rPr>
          <w:rFonts w:ascii="Times New Roman" w:eastAsia="Times New Roman" w:hAnsi="Times New Roman" w:cs="Times New Roman"/>
          <w:sz w:val="26"/>
          <w:szCs w:val="26"/>
        </w:rPr>
        <w:t>d</w:t>
      </w:r>
      <w:r w:rsidRPr="00F14DB5">
        <w:rPr>
          <w:rFonts w:ascii="Times New Roman" w:eastAsia="Times New Roman" w:hAnsi="Times New Roman" w:cs="Times New Roman"/>
          <w:sz w:val="26"/>
          <w:szCs w:val="26"/>
        </w:rPr>
        <w:t xml:space="preserve">efendant’s infringement of multiple trademarks owned by the plaintiff, </w:t>
      </w:r>
      <w:r w:rsidRPr="00F14DB5">
        <w:rPr>
          <w:rFonts w:ascii="Times New Roman" w:eastAsia="Times New Roman" w:hAnsi="Times New Roman" w:cs="Times New Roman"/>
          <w:i/>
          <w:sz w:val="26"/>
          <w:szCs w:val="26"/>
        </w:rPr>
        <w:t>see Volkswagenwerk AG v. Rickard</w:t>
      </w:r>
      <w:r w:rsidRPr="00F14DB5">
        <w:rPr>
          <w:rFonts w:ascii="Times New Roman" w:eastAsia="Times New Roman" w:hAnsi="Times New Roman" w:cs="Times New Roman"/>
          <w:sz w:val="26"/>
          <w:szCs w:val="26"/>
        </w:rPr>
        <w:t>, 492 F.2d 474, 479 (5</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1974), the geographic proximity between the parties, </w:t>
      </w:r>
      <w:r w:rsidRPr="00F14DB5">
        <w:rPr>
          <w:rFonts w:ascii="Times New Roman" w:eastAsia="Times New Roman" w:hAnsi="Times New Roman" w:cs="Times New Roman"/>
          <w:i/>
          <w:sz w:val="26"/>
          <w:szCs w:val="26"/>
        </w:rPr>
        <w:t>see Tana</w:t>
      </w:r>
      <w:r w:rsidRPr="00F14DB5">
        <w:rPr>
          <w:rFonts w:ascii="Times New Roman" w:eastAsia="Times New Roman" w:hAnsi="Times New Roman" w:cs="Times New Roman"/>
          <w:sz w:val="26"/>
          <w:szCs w:val="26"/>
        </w:rPr>
        <w:t xml:space="preserve">, 611 F.3d at 780-81, and, in cases involving product design trade dress, the prominence of any house trademarks used by the parties. </w:t>
      </w:r>
      <w:r w:rsidRPr="00F14DB5">
        <w:rPr>
          <w:rFonts w:ascii="Times New Roman" w:eastAsia="Times New Roman" w:hAnsi="Times New Roman" w:cs="Times New Roman"/>
          <w:i/>
          <w:sz w:val="26"/>
          <w:szCs w:val="26"/>
        </w:rPr>
        <w:t>See Bauer Lamp</w:t>
      </w:r>
      <w:r w:rsidR="00C26F27" w:rsidRPr="00F14DB5">
        <w:rPr>
          <w:rFonts w:ascii="Times New Roman" w:eastAsia="Times New Roman" w:hAnsi="Times New Roman" w:cs="Times New Roman"/>
          <w:i/>
          <w:sz w:val="26"/>
          <w:szCs w:val="26"/>
        </w:rPr>
        <w:t xml:space="preserve"> </w:t>
      </w:r>
      <w:r w:rsidRPr="00F14DB5">
        <w:rPr>
          <w:rFonts w:ascii="Times New Roman" w:eastAsia="Times New Roman" w:hAnsi="Times New Roman" w:cs="Times New Roman"/>
          <w:i/>
          <w:sz w:val="26"/>
          <w:szCs w:val="26"/>
        </w:rPr>
        <w:t xml:space="preserve"> v. Shaffer</w:t>
      </w:r>
      <w:r w:rsidRPr="00F14DB5">
        <w:rPr>
          <w:rFonts w:ascii="Times New Roman" w:eastAsia="Times New Roman" w:hAnsi="Times New Roman" w:cs="Times New Roman"/>
          <w:sz w:val="26"/>
          <w:szCs w:val="26"/>
        </w:rPr>
        <w:t>, 941 F.2d 1165, 1171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1991)</w:t>
      </w:r>
      <w:r w:rsidR="00D046BA" w:rsidRPr="00F14DB5">
        <w:rPr>
          <w:rFonts w:ascii="Times New Roman" w:eastAsia="Times New Roman" w:hAnsi="Times New Roman" w:cs="Times New Roman"/>
          <w:sz w:val="26"/>
          <w:szCs w:val="26"/>
        </w:rPr>
        <w:t xml:space="preserve"> (per curiam)</w:t>
      </w:r>
      <w:r w:rsidRPr="00F14DB5">
        <w:rPr>
          <w:rFonts w:ascii="Times New Roman" w:eastAsia="Times New Roman" w:hAnsi="Times New Roman" w:cs="Times New Roman"/>
          <w:sz w:val="26"/>
          <w:szCs w:val="26"/>
        </w:rPr>
        <w:t>.</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Whatever the factors used, the test for likely confusion is not applied by simply using a mathematical approach, that is, adding up how many factors have been proven or not proven. Rather, as the Eleventh Circuit has explained, “[a] district court should not determine whether a likelihood of confusion exists merely by computing whether a majority of the subsidiary factors indicate that such a likelihood exists. Rather, the district court must evaluate the weight to be accorded the individual subsidiary facts and make the ultimate fact decision.” </w:t>
      </w:r>
      <w:r w:rsidRPr="00F14DB5">
        <w:rPr>
          <w:rFonts w:ascii="Times New Roman" w:eastAsia="Times New Roman" w:hAnsi="Times New Roman" w:cs="Times New Roman"/>
          <w:i/>
          <w:sz w:val="26"/>
          <w:szCs w:val="26"/>
        </w:rPr>
        <w:t>Jellibeans, Inc. v. Skating Clubs of Ga., Inc.</w:t>
      </w:r>
      <w:r w:rsidRPr="00F14DB5">
        <w:rPr>
          <w:rFonts w:ascii="Times New Roman" w:eastAsia="Times New Roman" w:hAnsi="Times New Roman" w:cs="Times New Roman"/>
          <w:sz w:val="26"/>
          <w:szCs w:val="26"/>
        </w:rPr>
        <w:t>, 716 F.2d 833, 840 n.17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1983).</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Types and Strength of Trademarks</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A finding that a registered trademark is generic means that the mark cannot be protected </w:t>
      </w:r>
      <w:r w:rsidRPr="00F14DB5">
        <w:rPr>
          <w:rFonts w:ascii="Times New Roman" w:eastAsia="Times New Roman" w:hAnsi="Times New Roman" w:cs="Times New Roman"/>
          <w:i/>
          <w:sz w:val="26"/>
          <w:szCs w:val="26"/>
        </w:rPr>
        <w:t>as</w:t>
      </w:r>
      <w:r w:rsidRPr="00F14DB5">
        <w:rPr>
          <w:rFonts w:ascii="Times New Roman" w:eastAsia="Times New Roman" w:hAnsi="Times New Roman" w:cs="Times New Roman"/>
          <w:sz w:val="26"/>
          <w:szCs w:val="26"/>
        </w:rPr>
        <w:t xml:space="preserve"> a trademark, </w:t>
      </w:r>
      <w:r w:rsidRPr="00F14DB5">
        <w:rPr>
          <w:rFonts w:ascii="Times New Roman" w:eastAsia="Times New Roman" w:hAnsi="Times New Roman" w:cs="Times New Roman"/>
          <w:i/>
          <w:sz w:val="26"/>
          <w:szCs w:val="26"/>
        </w:rPr>
        <w:t>see Two Pesos, Inc. v. Taco Cabana, Inc.</w:t>
      </w:r>
      <w:r w:rsidRPr="00F14DB5">
        <w:rPr>
          <w:rFonts w:ascii="Times New Roman" w:eastAsia="Times New Roman" w:hAnsi="Times New Roman" w:cs="Times New Roman"/>
          <w:sz w:val="26"/>
          <w:szCs w:val="26"/>
        </w:rPr>
        <w:t xml:space="preserve">, 505 U.S. 763, 768, 112 S. Ct. 2753, 2757 (1992), and a jury finding that a registered trademark is generic </w:t>
      </w:r>
      <w:r w:rsidRPr="00F14DB5">
        <w:rPr>
          <w:rFonts w:ascii="Times New Roman" w:eastAsia="Times New Roman" w:hAnsi="Times New Roman" w:cs="Times New Roman"/>
          <w:sz w:val="26"/>
          <w:szCs w:val="26"/>
        </w:rPr>
        <w:lastRenderedPageBreak/>
        <w:t xml:space="preserve">therefore should not evaluate whether the plaintiff has proven valid rights to the claimed trademark independent of the registration. </w:t>
      </w:r>
      <w:r w:rsidRPr="00F14DB5">
        <w:rPr>
          <w:rFonts w:ascii="Times New Roman" w:eastAsia="Times New Roman" w:hAnsi="Times New Roman" w:cs="Times New Roman"/>
          <w:i/>
          <w:sz w:val="26"/>
          <w:szCs w:val="26"/>
        </w:rPr>
        <w:t>See Soweco, Inc. v. Shell Oil Co.</w:t>
      </w:r>
      <w:r w:rsidRPr="00F14DB5">
        <w:rPr>
          <w:rFonts w:ascii="Times New Roman" w:eastAsia="Times New Roman" w:hAnsi="Times New Roman" w:cs="Times New Roman"/>
          <w:sz w:val="26"/>
          <w:szCs w:val="26"/>
        </w:rPr>
        <w:t>, 617 F.2d 1178, 1183 (5</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1980) (“A generic term can </w:t>
      </w:r>
      <w:r w:rsidRPr="00F14DB5">
        <w:rPr>
          <w:rFonts w:ascii="Times New Roman" w:eastAsia="Times New Roman" w:hAnsi="Times New Roman" w:cs="Times New Roman"/>
          <w:i/>
          <w:sz w:val="26"/>
          <w:szCs w:val="26"/>
        </w:rPr>
        <w:t>never</w:t>
      </w:r>
      <w:r w:rsidRPr="00F14DB5">
        <w:rPr>
          <w:rFonts w:ascii="Times New Roman" w:eastAsia="Times New Roman" w:hAnsi="Times New Roman" w:cs="Times New Roman"/>
          <w:sz w:val="26"/>
          <w:szCs w:val="26"/>
        </w:rPr>
        <w:t xml:space="preserve"> become a trademark, [and] if a registered mark </w:t>
      </w:r>
      <w:r w:rsidRPr="00F14DB5">
        <w:rPr>
          <w:rFonts w:ascii="Times New Roman" w:eastAsia="Times New Roman" w:hAnsi="Times New Roman" w:cs="Times New Roman"/>
          <w:i/>
          <w:sz w:val="26"/>
          <w:szCs w:val="26"/>
        </w:rPr>
        <w:t>at any time</w:t>
      </w:r>
      <w:r w:rsidRPr="00F14DB5">
        <w:rPr>
          <w:rFonts w:ascii="Times New Roman" w:eastAsia="Times New Roman" w:hAnsi="Times New Roman" w:cs="Times New Roman"/>
          <w:sz w:val="26"/>
          <w:szCs w:val="26"/>
        </w:rPr>
        <w:t xml:space="preserve"> becomes generic with respect to a particular article, the Lanham Act provides for the cancellation of that mark’s registration.” (footnote omitted) (citation omitted)</w:t>
      </w:r>
      <w:r w:rsidR="00D046BA"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Under limited circumstances, however, a defendant’s use of a former trademark that has become generic can lead to liability for the tort of passing off. </w:t>
      </w:r>
      <w:r w:rsidRPr="00F14DB5">
        <w:rPr>
          <w:rFonts w:ascii="Times New Roman" w:eastAsia="Times New Roman" w:hAnsi="Times New Roman" w:cs="Times New Roman"/>
          <w:i/>
          <w:sz w:val="26"/>
          <w:szCs w:val="26"/>
        </w:rPr>
        <w:t>See, e.g.</w:t>
      </w:r>
      <w:r w:rsidRPr="005153CF">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Kellogg Co. v. Nat’l Biscuit Co.</w:t>
      </w:r>
      <w:r w:rsidRPr="00F14DB5">
        <w:rPr>
          <w:rFonts w:ascii="Times New Roman" w:eastAsia="Times New Roman" w:hAnsi="Times New Roman" w:cs="Times New Roman"/>
          <w:sz w:val="26"/>
          <w:szCs w:val="26"/>
        </w:rPr>
        <w:t>, 305 U.S. 111, 120, 59 S. Ct. 109, 114, 83 L. Ed. 2d 73 (1938) (use of a generic designation by a defendant must “be done in a manner which reasonably distinguishes its product from that of a plaintiff”).</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This instruction adopts the test for genericness set forth in Section 14</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4 \s 3 </w:instrText>
      </w:r>
      <w:r w:rsidRPr="005153CF">
        <w:rPr>
          <w:rFonts w:ascii="Times New Roman" w:eastAsia="Times New Roman" w:hAnsi="Times New Roman" w:cs="Times New Roman"/>
          <w:sz w:val="26"/>
          <w:szCs w:val="26"/>
        </w:rPr>
        <w:fldChar w:fldCharType="end">
          <w:numberingChange w:id="20" w:author="Author" w:original="(3)"/>
        </w:fldChar>
      </w:r>
      <w:r w:rsidRPr="00F14DB5">
        <w:rPr>
          <w:rFonts w:ascii="Times New Roman" w:eastAsia="Times New Roman" w:hAnsi="Times New Roman" w:cs="Times New Roman"/>
          <w:sz w:val="26"/>
          <w:szCs w:val="26"/>
        </w:rPr>
        <w:t xml:space="preserve"> of the Lanham Act, 15 U.S.C. § 1064</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4 \s 3 </w:instrText>
      </w:r>
      <w:r w:rsidRPr="005153CF">
        <w:rPr>
          <w:rFonts w:ascii="Times New Roman" w:eastAsia="Times New Roman" w:hAnsi="Times New Roman" w:cs="Times New Roman"/>
          <w:sz w:val="26"/>
          <w:szCs w:val="26"/>
        </w:rPr>
        <w:fldChar w:fldCharType="end">
          <w:numberingChange w:id="21" w:author="Author" w:original="(3)"/>
        </w:fldChar>
      </w:r>
      <w:r w:rsidRPr="00F14DB5">
        <w:rPr>
          <w:rFonts w:ascii="Times New Roman" w:eastAsia="Times New Roman" w:hAnsi="Times New Roman" w:cs="Times New Roman"/>
          <w:sz w:val="26"/>
          <w:szCs w:val="26"/>
        </w:rPr>
        <w:t xml:space="preserve"> (20</w:t>
      </w:r>
      <w:r w:rsidR="00D046BA" w:rsidRPr="00F14DB5">
        <w:rPr>
          <w:rFonts w:ascii="Times New Roman" w:eastAsia="Times New Roman" w:hAnsi="Times New Roman" w:cs="Times New Roman"/>
          <w:sz w:val="26"/>
          <w:szCs w:val="26"/>
        </w:rPr>
        <w:t>12</w:t>
      </w:r>
      <w:r w:rsidRPr="00F14DB5">
        <w:rPr>
          <w:rFonts w:ascii="Times New Roman" w:eastAsia="Times New Roman" w:hAnsi="Times New Roman" w:cs="Times New Roman"/>
          <w:sz w:val="26"/>
          <w:szCs w:val="26"/>
        </w:rPr>
        <w:t xml:space="preserve">). Eleventh Circuit cases bearing on the issue include </w:t>
      </w:r>
      <w:r w:rsidRPr="00F14DB5">
        <w:rPr>
          <w:rFonts w:ascii="Times New Roman" w:eastAsia="Times New Roman" w:hAnsi="Times New Roman" w:cs="Times New Roman"/>
          <w:i/>
          <w:sz w:val="26"/>
          <w:szCs w:val="26"/>
        </w:rPr>
        <w:t>Welding Servs., Inc. v. Forman</w:t>
      </w:r>
      <w:r w:rsidRPr="00F14DB5">
        <w:rPr>
          <w:rFonts w:ascii="Times New Roman" w:eastAsia="Times New Roman" w:hAnsi="Times New Roman" w:cs="Times New Roman"/>
          <w:sz w:val="26"/>
          <w:szCs w:val="26"/>
        </w:rPr>
        <w:t>, 509 F.3d 1351, 1358, 1359 n.4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2007), </w:t>
      </w:r>
      <w:r w:rsidRPr="00F14DB5">
        <w:rPr>
          <w:rFonts w:ascii="Times New Roman" w:eastAsia="Times New Roman" w:hAnsi="Times New Roman" w:cs="Times New Roman"/>
          <w:i/>
          <w:sz w:val="26"/>
          <w:szCs w:val="26"/>
        </w:rPr>
        <w:t>Investacorp, Inc. v. Arabian Inv. Banking Corp. (Investcorp) E.C.</w:t>
      </w:r>
      <w:r w:rsidRPr="00F14DB5">
        <w:rPr>
          <w:rFonts w:ascii="Times New Roman" w:eastAsia="Times New Roman" w:hAnsi="Times New Roman" w:cs="Times New Roman"/>
          <w:sz w:val="26"/>
          <w:szCs w:val="26"/>
        </w:rPr>
        <w:t>, 931 F.2d 1519, 1522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1991), and </w:t>
      </w:r>
      <w:r w:rsidRPr="00F14DB5">
        <w:rPr>
          <w:rFonts w:ascii="Times New Roman" w:eastAsia="Times New Roman" w:hAnsi="Times New Roman" w:cs="Times New Roman"/>
          <w:i/>
          <w:sz w:val="26"/>
          <w:szCs w:val="26"/>
        </w:rPr>
        <w:t>Vision Ctr. v. Opticks, Inc.</w:t>
      </w:r>
      <w:r w:rsidRPr="00F14DB5">
        <w:rPr>
          <w:rFonts w:ascii="Times New Roman" w:eastAsia="Times New Roman" w:hAnsi="Times New Roman" w:cs="Times New Roman"/>
          <w:sz w:val="26"/>
          <w:szCs w:val="26"/>
        </w:rPr>
        <w:t>, 596 F.2d 111, 115 (5</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1979).</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The instruction provides a definition of what may constitute a descriptive trademark, but the definition sets forth the most commonly found types of descriptive trademarks. In addition to trademarks falling within the scope of the definition in this instruction, “[n]ames – both surnames and first names – are regarded as descriptive terms and therefore one who claims federal trademark rights in a name must prove that the name has acquired secondary meaning.” </w:t>
      </w:r>
      <w:r w:rsidRPr="00F14DB5">
        <w:rPr>
          <w:rFonts w:ascii="Times New Roman" w:eastAsia="Times New Roman" w:hAnsi="Times New Roman" w:cs="Times New Roman"/>
          <w:i/>
          <w:sz w:val="26"/>
          <w:szCs w:val="26"/>
        </w:rPr>
        <w:t>Tana</w:t>
      </w:r>
      <w:r w:rsidRPr="00F14DB5">
        <w:rPr>
          <w:rFonts w:ascii="Times New Roman" w:eastAsia="Times New Roman" w:hAnsi="Times New Roman" w:cs="Times New Roman"/>
          <w:sz w:val="26"/>
          <w:szCs w:val="26"/>
        </w:rPr>
        <w:t>, 611 F.3d at 774 (citation omitted</w:t>
      </w:r>
      <w:r w:rsidR="00C26F27"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“The policy reasons for requiring secondary meaning for the use of a personal or surname as a trademark extend equally to the use of full names.” </w:t>
      </w:r>
      <w:r w:rsidRPr="00F14DB5">
        <w:rPr>
          <w:rFonts w:ascii="Times New Roman" w:eastAsia="Times New Roman" w:hAnsi="Times New Roman" w:cs="Times New Roman"/>
          <w:i/>
          <w:sz w:val="26"/>
          <w:szCs w:val="26"/>
        </w:rPr>
        <w:t>Id</w:t>
      </w:r>
      <w:r w:rsidRPr="00F14DB5">
        <w:rPr>
          <w:rFonts w:ascii="Times New Roman" w:eastAsia="Times New Roman" w:hAnsi="Times New Roman" w:cs="Times New Roman"/>
          <w:sz w:val="26"/>
          <w:szCs w:val="26"/>
        </w:rPr>
        <w:t xml:space="preserve">. at 776. Other types of trademarks that are considered descriptive include individual colors, </w:t>
      </w:r>
      <w:r w:rsidRPr="00F14DB5">
        <w:rPr>
          <w:rFonts w:ascii="Times New Roman" w:eastAsia="Times New Roman" w:hAnsi="Times New Roman" w:cs="Times New Roman"/>
          <w:i/>
          <w:sz w:val="26"/>
          <w:szCs w:val="26"/>
        </w:rPr>
        <w:t>see Qualitex Co. v. Jacobson Prods. Co.</w:t>
      </w:r>
      <w:r w:rsidRPr="00F14DB5">
        <w:rPr>
          <w:rFonts w:ascii="Times New Roman" w:eastAsia="Times New Roman" w:hAnsi="Times New Roman" w:cs="Times New Roman"/>
          <w:sz w:val="26"/>
          <w:szCs w:val="26"/>
        </w:rPr>
        <w:t>, 514 U.S. 159, 163 115 S. Ct. 1300, 1303</w:t>
      </w:r>
      <w:r w:rsidR="00D046BA"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131 L. Ed. 2d 248 (1995), geographically descriptive terms, </w:t>
      </w:r>
      <w:r w:rsidRPr="00F14DB5">
        <w:rPr>
          <w:rFonts w:ascii="Times New Roman" w:eastAsia="Times New Roman" w:hAnsi="Times New Roman" w:cs="Times New Roman"/>
          <w:i/>
          <w:sz w:val="26"/>
          <w:szCs w:val="26"/>
        </w:rPr>
        <w:t>see Elgin Nat’l Watch Co. v. Ill. Watch Case Co.</w:t>
      </w:r>
      <w:r w:rsidRPr="00F14DB5">
        <w:rPr>
          <w:rFonts w:ascii="Times New Roman" w:eastAsia="Times New Roman" w:hAnsi="Times New Roman" w:cs="Times New Roman"/>
          <w:sz w:val="26"/>
          <w:szCs w:val="26"/>
        </w:rPr>
        <w:t xml:space="preserve">, 179 U.S. 665, 673, 65 S. Ct. 270, 273, 45 L. Ed. 365 (1901), and noninherently distinctive trade dress. </w:t>
      </w:r>
      <w:r w:rsidRPr="00F14DB5">
        <w:rPr>
          <w:rFonts w:ascii="Times New Roman" w:eastAsia="Times New Roman" w:hAnsi="Times New Roman" w:cs="Times New Roman"/>
          <w:i/>
          <w:sz w:val="26"/>
          <w:szCs w:val="26"/>
        </w:rPr>
        <w:t>See Brooks Shoe Mfg. Co. v. Suave Shoe Corp.</w:t>
      </w:r>
      <w:r w:rsidRPr="00F14DB5">
        <w:rPr>
          <w:rFonts w:ascii="Times New Roman" w:eastAsia="Times New Roman" w:hAnsi="Times New Roman" w:cs="Times New Roman"/>
          <w:sz w:val="26"/>
          <w:szCs w:val="26"/>
        </w:rPr>
        <w:t>, 716 F.2d 854, 857-58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1983).</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In affirming a finding of no secondary meaning, one panel of the Eleventh Circuit has held that “[a]lthough we believe that proof of intentional copying is probative evidence on the secondary meaning issue, we cannot agree with Plaintiff that proof of intentional copying conclusively establishes that plaintiff’s trademark or trade dress has acquired secondary meaning.” </w:t>
      </w:r>
      <w:r w:rsidRPr="00F14DB5">
        <w:rPr>
          <w:rFonts w:ascii="Times New Roman" w:eastAsia="Times New Roman" w:hAnsi="Times New Roman" w:cs="Times New Roman"/>
          <w:i/>
          <w:sz w:val="26"/>
          <w:szCs w:val="26"/>
        </w:rPr>
        <w:t>Brooks Shoe Mfg. Co. v. Suave Shoe Corp.</w:t>
      </w:r>
      <w:r w:rsidRPr="00F14DB5">
        <w:rPr>
          <w:rFonts w:ascii="Times New Roman" w:eastAsia="Times New Roman" w:hAnsi="Times New Roman" w:cs="Times New Roman"/>
          <w:sz w:val="26"/>
          <w:szCs w:val="26"/>
        </w:rPr>
        <w:t>, 716 F.2d 854, 860 (11</w:t>
      </w:r>
      <w:r w:rsidR="00553E23"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1983); </w:t>
      </w:r>
      <w:r w:rsidRPr="00F14DB5">
        <w:rPr>
          <w:rFonts w:ascii="Times New Roman" w:eastAsia="Times New Roman" w:hAnsi="Times New Roman" w:cs="Times New Roman"/>
          <w:i/>
          <w:sz w:val="26"/>
          <w:szCs w:val="26"/>
        </w:rPr>
        <w:t>see also CPG Prods. Corp. v. Pegasus Luggage, Inc.</w:t>
      </w:r>
      <w:r w:rsidRPr="00F14DB5">
        <w:rPr>
          <w:rFonts w:ascii="Times New Roman" w:eastAsia="Times New Roman" w:hAnsi="Times New Roman" w:cs="Times New Roman"/>
          <w:sz w:val="26"/>
          <w:szCs w:val="26"/>
        </w:rPr>
        <w:t>, 776 F.2d 1007, 1012 (Fed. Cir. 1985) (concluding, in application of Eleventh Circuit law, that “[e]vidence of intentional copying in this case, also supports a finding of secondary meaning”). Because the court has not addressed the precise role played by intentional copying in the secondary meaning inquiry, these instructions adopt the four-factor test most commonly applied by the court.</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lastRenderedPageBreak/>
        <w:t xml:space="preserve">A registered trademark that has achieved incontestable status under 15 U.S.C. § 1065 cannot be challenged on the grounds that it is descriptive and lacks secondary meaning. </w:t>
      </w:r>
      <w:r w:rsidRPr="00F14DB5">
        <w:rPr>
          <w:rFonts w:ascii="Times New Roman" w:eastAsia="Times New Roman" w:hAnsi="Times New Roman" w:cs="Times New Roman"/>
          <w:i/>
          <w:sz w:val="26"/>
          <w:szCs w:val="26"/>
        </w:rPr>
        <w:t xml:space="preserve">Park ‘N Fly v. Dollar Park </w:t>
      </w:r>
      <w:r w:rsidR="00D046BA" w:rsidRPr="00F14DB5">
        <w:rPr>
          <w:rFonts w:ascii="Times New Roman" w:eastAsia="Times New Roman" w:hAnsi="Times New Roman" w:cs="Times New Roman"/>
          <w:i/>
          <w:sz w:val="26"/>
          <w:szCs w:val="26"/>
        </w:rPr>
        <w:t>&amp;</w:t>
      </w:r>
      <w:r w:rsidRPr="00F14DB5">
        <w:rPr>
          <w:rFonts w:ascii="Times New Roman" w:eastAsia="Times New Roman" w:hAnsi="Times New Roman" w:cs="Times New Roman"/>
          <w:i/>
          <w:sz w:val="26"/>
          <w:szCs w:val="26"/>
        </w:rPr>
        <w:t xml:space="preserve"> Fly, Inc.</w:t>
      </w:r>
      <w:r w:rsidRPr="00F14DB5">
        <w:rPr>
          <w:rFonts w:ascii="Times New Roman" w:eastAsia="Times New Roman" w:hAnsi="Times New Roman" w:cs="Times New Roman"/>
          <w:sz w:val="26"/>
          <w:szCs w:val="26"/>
        </w:rPr>
        <w:t>, 469 U.S. 189, 2</w:t>
      </w:r>
      <w:r w:rsidR="00D046BA" w:rsidRPr="00F14DB5">
        <w:rPr>
          <w:rFonts w:ascii="Times New Roman" w:eastAsia="Times New Roman" w:hAnsi="Times New Roman" w:cs="Times New Roman"/>
          <w:sz w:val="26"/>
          <w:szCs w:val="26"/>
        </w:rPr>
        <w:t>03</w:t>
      </w:r>
      <w:r w:rsidRPr="00F14DB5">
        <w:rPr>
          <w:rFonts w:ascii="Times New Roman" w:eastAsia="Times New Roman" w:hAnsi="Times New Roman" w:cs="Times New Roman"/>
          <w:sz w:val="26"/>
          <w:szCs w:val="26"/>
        </w:rPr>
        <w:t xml:space="preserve">, 105 S. Ct. 658, </w:t>
      </w:r>
      <w:r w:rsidR="00D046BA" w:rsidRPr="00F14DB5">
        <w:rPr>
          <w:rFonts w:ascii="Times New Roman" w:eastAsia="Times New Roman" w:hAnsi="Times New Roman" w:cs="Times New Roman"/>
          <w:sz w:val="26"/>
          <w:szCs w:val="26"/>
        </w:rPr>
        <w:t>666</w:t>
      </w:r>
      <w:r w:rsidRPr="00F14DB5">
        <w:rPr>
          <w:rFonts w:ascii="Times New Roman" w:eastAsia="Times New Roman" w:hAnsi="Times New Roman" w:cs="Times New Roman"/>
          <w:sz w:val="26"/>
          <w:szCs w:val="26"/>
        </w:rPr>
        <w:t xml:space="preserve">, </w:t>
      </w:r>
      <w:r w:rsidR="00D046BA" w:rsidRPr="00F14DB5">
        <w:rPr>
          <w:rFonts w:ascii="Times New Roman" w:eastAsia="Times New Roman" w:hAnsi="Times New Roman" w:cs="Times New Roman"/>
          <w:sz w:val="26"/>
          <w:szCs w:val="26"/>
        </w:rPr>
        <w:t>83</w:t>
      </w:r>
      <w:r w:rsidRPr="00F14DB5">
        <w:rPr>
          <w:rFonts w:ascii="Times New Roman" w:eastAsia="Times New Roman" w:hAnsi="Times New Roman" w:cs="Times New Roman"/>
          <w:sz w:val="26"/>
          <w:szCs w:val="26"/>
        </w:rPr>
        <w:t xml:space="preserve"> L. Ed. 2d </w:t>
      </w:r>
      <w:r w:rsidR="00D046BA" w:rsidRPr="00F14DB5">
        <w:rPr>
          <w:rFonts w:ascii="Times New Roman" w:eastAsia="Times New Roman" w:hAnsi="Times New Roman" w:cs="Times New Roman"/>
          <w:sz w:val="26"/>
          <w:szCs w:val="26"/>
        </w:rPr>
        <w:t xml:space="preserve">582 </w:t>
      </w:r>
      <w:r w:rsidRPr="00F14DB5">
        <w:rPr>
          <w:rFonts w:ascii="Times New Roman" w:eastAsia="Times New Roman" w:hAnsi="Times New Roman" w:cs="Times New Roman"/>
          <w:sz w:val="26"/>
          <w:szCs w:val="26"/>
        </w:rPr>
        <w:t xml:space="preserve">(1985); </w:t>
      </w:r>
      <w:r w:rsidRPr="00F14DB5">
        <w:rPr>
          <w:rFonts w:ascii="Times New Roman" w:eastAsia="Times New Roman" w:hAnsi="Times New Roman" w:cs="Times New Roman"/>
          <w:i/>
          <w:sz w:val="26"/>
          <w:szCs w:val="26"/>
        </w:rPr>
        <w:t>Wilhelm Pudenz, GmbH v. Littlefuse, Inc.</w:t>
      </w:r>
      <w:r w:rsidRPr="00F14DB5">
        <w:rPr>
          <w:rFonts w:ascii="Times New Roman" w:eastAsia="Times New Roman" w:hAnsi="Times New Roman" w:cs="Times New Roman"/>
          <w:sz w:val="26"/>
          <w:szCs w:val="26"/>
        </w:rPr>
        <w:t>, 177 F.3d 1204, 1209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1999); </w:t>
      </w:r>
      <w:r w:rsidRPr="00F14DB5">
        <w:rPr>
          <w:rFonts w:ascii="Times New Roman" w:eastAsia="Times New Roman" w:hAnsi="Times New Roman" w:cs="Times New Roman"/>
          <w:i/>
          <w:sz w:val="26"/>
          <w:szCs w:val="26"/>
        </w:rPr>
        <w:t>Soweco</w:t>
      </w:r>
      <w:r w:rsidRPr="00F14DB5">
        <w:rPr>
          <w:rFonts w:ascii="Times New Roman" w:eastAsia="Times New Roman" w:hAnsi="Times New Roman" w:cs="Times New Roman"/>
          <w:sz w:val="26"/>
          <w:szCs w:val="26"/>
        </w:rPr>
        <w:t xml:space="preserve">, 617 F.2d at 1184-85. Nevertheless, even though the registration covering a trademark may have achieved incontestable status, there are still a variety of defenses that may be made as to incontestability. </w:t>
      </w:r>
      <w:r w:rsidRPr="00F14DB5">
        <w:rPr>
          <w:rFonts w:ascii="Times New Roman" w:eastAsia="Times New Roman" w:hAnsi="Times New Roman" w:cs="Times New Roman"/>
          <w:i/>
          <w:sz w:val="26"/>
          <w:szCs w:val="26"/>
        </w:rPr>
        <w:t>See</w:t>
      </w:r>
      <w:r w:rsidRPr="00F14DB5">
        <w:rPr>
          <w:rFonts w:ascii="Times New Roman" w:eastAsia="Times New Roman" w:hAnsi="Times New Roman" w:cs="Times New Roman"/>
          <w:sz w:val="26"/>
          <w:szCs w:val="26"/>
        </w:rPr>
        <w:t xml:space="preserve"> 15 U.S.C. § 1115</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2 </w:instrText>
      </w:r>
      <w:r w:rsidRPr="005153CF">
        <w:rPr>
          <w:rFonts w:ascii="Times New Roman" w:eastAsia="Times New Roman" w:hAnsi="Times New Roman" w:cs="Times New Roman"/>
          <w:sz w:val="26"/>
          <w:szCs w:val="26"/>
        </w:rPr>
        <w:fldChar w:fldCharType="end">
          <w:numberingChange w:id="22" w:author="Author" w:original="(b)"/>
        </w:fldChar>
      </w:r>
      <w:r w:rsidRPr="00F14DB5">
        <w:rPr>
          <w:rFonts w:ascii="Times New Roman" w:eastAsia="Times New Roman" w:hAnsi="Times New Roman" w:cs="Times New Roman"/>
          <w:sz w:val="26"/>
          <w:szCs w:val="26"/>
        </w:rPr>
        <w:t>.</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Representative circuit case law bearing on the definition of suggestive trademarks includes </w:t>
      </w:r>
      <w:r w:rsidRPr="00F14DB5">
        <w:rPr>
          <w:rFonts w:ascii="Times New Roman" w:eastAsia="Times New Roman" w:hAnsi="Times New Roman" w:cs="Times New Roman"/>
          <w:i/>
          <w:sz w:val="26"/>
          <w:szCs w:val="26"/>
        </w:rPr>
        <w:t xml:space="preserve">Am. Television &amp; Commc’ns Corp. v. Am. Commc’ns </w:t>
      </w:r>
      <w:r w:rsidR="00C26F27" w:rsidRPr="00F14DB5">
        <w:rPr>
          <w:rFonts w:ascii="Times New Roman" w:eastAsia="Times New Roman" w:hAnsi="Times New Roman" w:cs="Times New Roman"/>
          <w:i/>
          <w:sz w:val="26"/>
          <w:szCs w:val="26"/>
        </w:rPr>
        <w:t>&amp;</w:t>
      </w:r>
      <w:r w:rsidRPr="00F14DB5">
        <w:rPr>
          <w:rFonts w:ascii="Times New Roman" w:eastAsia="Times New Roman" w:hAnsi="Times New Roman" w:cs="Times New Roman"/>
          <w:i/>
          <w:sz w:val="26"/>
          <w:szCs w:val="26"/>
        </w:rPr>
        <w:t xml:space="preserve"> Television, Inc.</w:t>
      </w:r>
      <w:r w:rsidRPr="00F14DB5">
        <w:rPr>
          <w:rFonts w:ascii="Times New Roman" w:eastAsia="Times New Roman" w:hAnsi="Times New Roman" w:cs="Times New Roman"/>
          <w:sz w:val="26"/>
          <w:szCs w:val="26"/>
        </w:rPr>
        <w:t>, 810 F.2d 1546, 1549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1987), </w:t>
      </w:r>
      <w:r w:rsidRPr="00F14DB5">
        <w:rPr>
          <w:rFonts w:ascii="Times New Roman" w:eastAsia="Times New Roman" w:hAnsi="Times New Roman" w:cs="Times New Roman"/>
          <w:i/>
          <w:sz w:val="26"/>
          <w:szCs w:val="26"/>
        </w:rPr>
        <w:t>Citibank, N.A. v. Citibanc Grp.</w:t>
      </w:r>
      <w:r w:rsidRPr="00F14DB5">
        <w:rPr>
          <w:rFonts w:ascii="Times New Roman" w:eastAsia="Times New Roman" w:hAnsi="Times New Roman" w:cs="Times New Roman"/>
          <w:sz w:val="26"/>
          <w:szCs w:val="26"/>
        </w:rPr>
        <w:t>, 724 F.2d 1540, 1545 (11</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1984), and </w:t>
      </w:r>
      <w:r w:rsidRPr="00F14DB5">
        <w:rPr>
          <w:rFonts w:ascii="Times New Roman" w:eastAsia="Times New Roman" w:hAnsi="Times New Roman" w:cs="Times New Roman"/>
          <w:i/>
          <w:sz w:val="26"/>
          <w:szCs w:val="26"/>
        </w:rPr>
        <w:t>Soweco, Inc. v. Shell Oil Co.</w:t>
      </w:r>
      <w:r w:rsidRPr="00F14DB5">
        <w:rPr>
          <w:rFonts w:ascii="Times New Roman" w:eastAsia="Times New Roman" w:hAnsi="Times New Roman" w:cs="Times New Roman"/>
          <w:sz w:val="26"/>
          <w:szCs w:val="26"/>
        </w:rPr>
        <w:t>, 617 F.2d 1178, 1184 (5</w:t>
      </w:r>
      <w:r w:rsidR="00D046BA"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1980).</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Representative circuit case law bearing on the definition of arbitrary and coined trademarks includes </w:t>
      </w:r>
      <w:r w:rsidRPr="00F14DB5">
        <w:rPr>
          <w:rFonts w:ascii="Times New Roman" w:eastAsia="Times New Roman" w:hAnsi="Times New Roman" w:cs="Times New Roman"/>
          <w:i/>
          <w:sz w:val="26"/>
          <w:szCs w:val="26"/>
        </w:rPr>
        <w:t>Carnival Brand Seafood Co. v. Carnival Brands, Inc.</w:t>
      </w:r>
      <w:r w:rsidRPr="00F14DB5">
        <w:rPr>
          <w:rFonts w:ascii="Times New Roman" w:eastAsia="Times New Roman" w:hAnsi="Times New Roman" w:cs="Times New Roman"/>
          <w:sz w:val="26"/>
          <w:szCs w:val="26"/>
        </w:rPr>
        <w:t>, 187 F.3d 1307. 1312 (11</w:t>
      </w:r>
      <w:r w:rsidR="00553E23"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1999), </w:t>
      </w:r>
      <w:r w:rsidRPr="00F14DB5">
        <w:rPr>
          <w:rFonts w:ascii="Times New Roman" w:eastAsia="Times New Roman" w:hAnsi="Times New Roman" w:cs="Times New Roman"/>
          <w:i/>
          <w:sz w:val="26"/>
          <w:szCs w:val="26"/>
        </w:rPr>
        <w:t>Freedom Sav. &amp; Loan Ass’n v. Way</w:t>
      </w:r>
      <w:r w:rsidRPr="00F14DB5">
        <w:rPr>
          <w:rFonts w:ascii="Times New Roman" w:eastAsia="Times New Roman" w:hAnsi="Times New Roman" w:cs="Times New Roman"/>
          <w:sz w:val="26"/>
          <w:szCs w:val="26"/>
        </w:rPr>
        <w:t>, 757 F.2d 1176, 1182 n.3 (11</w:t>
      </w:r>
      <w:r w:rsidR="00553E23"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1985), and </w:t>
      </w:r>
      <w:r w:rsidRPr="00F14DB5">
        <w:rPr>
          <w:rFonts w:ascii="Times New Roman" w:eastAsia="Times New Roman" w:hAnsi="Times New Roman" w:cs="Times New Roman"/>
          <w:i/>
          <w:sz w:val="26"/>
          <w:szCs w:val="26"/>
        </w:rPr>
        <w:t>Amstar Corp. v. Domino’s Pizza, Inc.</w:t>
      </w:r>
      <w:r w:rsidRPr="00F14DB5">
        <w:rPr>
          <w:rFonts w:ascii="Times New Roman" w:eastAsia="Times New Roman" w:hAnsi="Times New Roman" w:cs="Times New Roman"/>
          <w:sz w:val="26"/>
          <w:szCs w:val="26"/>
        </w:rPr>
        <w:t>, 615 F.2d 252. 260 (5</w:t>
      </w:r>
      <w:r w:rsidR="00553E23"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1980).</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The Eleventh Circuit’s treatment of the considerations properly taken into </w:t>
      </w:r>
      <w:r w:rsidR="00B56238" w:rsidRPr="00F14DB5">
        <w:rPr>
          <w:rFonts w:ascii="Times New Roman" w:eastAsia="Times New Roman" w:hAnsi="Times New Roman" w:cs="Times New Roman"/>
          <w:sz w:val="26"/>
          <w:szCs w:val="26"/>
        </w:rPr>
        <w:t xml:space="preserve">account </w:t>
      </w:r>
      <w:r w:rsidRPr="00F14DB5">
        <w:rPr>
          <w:rFonts w:ascii="Times New Roman" w:eastAsia="Times New Roman" w:hAnsi="Times New Roman" w:cs="Times New Roman"/>
          <w:sz w:val="26"/>
          <w:szCs w:val="26"/>
        </w:rPr>
        <w:t xml:space="preserve">in the trademark strength inquiry has been inconsistent. On the one hand, the court has suggested that suggestive, arbitrary, and coined trademarks, as well as those covered by incontestable registrations, are strong as a matter of law. </w:t>
      </w:r>
      <w:r w:rsidRPr="00F14DB5">
        <w:rPr>
          <w:rFonts w:ascii="Times New Roman" w:eastAsia="Times New Roman" w:hAnsi="Times New Roman" w:cs="Times New Roman"/>
          <w:i/>
          <w:sz w:val="26"/>
          <w:szCs w:val="26"/>
        </w:rPr>
        <w:t>See, e.g.</w:t>
      </w:r>
      <w:r w:rsidRPr="005153CF">
        <w:rPr>
          <w:rFonts w:ascii="Times New Roman" w:eastAsia="Times New Roman" w:hAnsi="Times New Roman" w:cs="Times New Roman"/>
          <w:sz w:val="26"/>
          <w:szCs w:val="26"/>
        </w:rPr>
        <w:t>,</w:t>
      </w:r>
      <w:r w:rsidRPr="00F14DB5">
        <w:rPr>
          <w:rFonts w:ascii="Times New Roman" w:eastAsia="Times New Roman" w:hAnsi="Times New Roman" w:cs="Times New Roman"/>
          <w:i/>
          <w:sz w:val="26"/>
          <w:szCs w:val="26"/>
        </w:rPr>
        <w:t xml:space="preserve"> Frehling Enters. v. Int’l Select Grp.</w:t>
      </w:r>
      <w:r w:rsidRPr="00F14DB5">
        <w:rPr>
          <w:rFonts w:ascii="Times New Roman" w:eastAsia="Times New Roman" w:hAnsi="Times New Roman" w:cs="Times New Roman"/>
          <w:sz w:val="26"/>
          <w:szCs w:val="26"/>
        </w:rPr>
        <w:t>, 192 F.3d 1330, 1335-36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1999) (“Arbitrary marks are the strongest of the four categories.</w:t>
      </w:r>
      <w:r w:rsidR="00B56238"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AmBrit, Inc. v. Kraft, Inc.</w:t>
      </w:r>
      <w:r w:rsidRPr="00F14DB5">
        <w:rPr>
          <w:rFonts w:ascii="Times New Roman" w:eastAsia="Times New Roman" w:hAnsi="Times New Roman" w:cs="Times New Roman"/>
          <w:sz w:val="26"/>
          <w:szCs w:val="26"/>
        </w:rPr>
        <w:t>, 812 F.2d 1531, 1539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1986) (“[T]he scope of protection increases as the [trademark] moves toward the arbitrary end of the spectrum.”); </w:t>
      </w:r>
      <w:r w:rsidRPr="00F14DB5">
        <w:rPr>
          <w:rFonts w:ascii="Times New Roman" w:eastAsia="Times New Roman" w:hAnsi="Times New Roman" w:cs="Times New Roman"/>
          <w:i/>
          <w:sz w:val="26"/>
          <w:szCs w:val="26"/>
        </w:rPr>
        <w:t>Sun Banks, Inc. v. Sun Fed</w:t>
      </w:r>
      <w:r w:rsidR="00B56238" w:rsidRPr="00F14DB5">
        <w:rPr>
          <w:rFonts w:ascii="Times New Roman" w:eastAsia="Times New Roman" w:hAnsi="Times New Roman" w:cs="Times New Roman"/>
          <w:i/>
          <w:sz w:val="26"/>
          <w:szCs w:val="26"/>
        </w:rPr>
        <w:t>.</w:t>
      </w:r>
      <w:r w:rsidRPr="00F14DB5">
        <w:rPr>
          <w:rFonts w:ascii="Times New Roman" w:eastAsia="Times New Roman" w:hAnsi="Times New Roman" w:cs="Times New Roman"/>
          <w:i/>
          <w:sz w:val="26"/>
          <w:szCs w:val="26"/>
        </w:rPr>
        <w:t xml:space="preserve"> Sav. &amp; Loan Ass’n</w:t>
      </w:r>
      <w:r w:rsidRPr="00F14DB5">
        <w:rPr>
          <w:rFonts w:ascii="Times New Roman" w:eastAsia="Times New Roman" w:hAnsi="Times New Roman" w:cs="Times New Roman"/>
          <w:sz w:val="26"/>
          <w:szCs w:val="26"/>
        </w:rPr>
        <w:t>, 651 F.2d 311, 315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1981) (“A strong mark is usually fictitious, arbitrary or fanciful and is generally inherently distinctive.”); </w:t>
      </w:r>
      <w:r w:rsidRPr="00F14DB5">
        <w:rPr>
          <w:rFonts w:ascii="Times New Roman" w:eastAsia="Times New Roman" w:hAnsi="Times New Roman" w:cs="Times New Roman"/>
          <w:i/>
          <w:sz w:val="26"/>
          <w:szCs w:val="26"/>
        </w:rPr>
        <w:t xml:space="preserve">see also </w:t>
      </w:r>
      <w:r w:rsidR="00B56238" w:rsidRPr="00F14DB5">
        <w:rPr>
          <w:rFonts w:ascii="Times New Roman" w:eastAsia="Calibri" w:hAnsi="Times New Roman" w:cs="Times New Roman"/>
          <w:i/>
          <w:spacing w:val="-3"/>
          <w:sz w:val="26"/>
          <w:szCs w:val="26"/>
        </w:rPr>
        <w:t>Sovereign Military Hospitaller Order of Saint John of Jerusalem of Rhodes &amp; of Malta v. Fla. Priory of the Knights Hospitallers of the Sovereign Order of Saint John of Jerusalem, Knights of Malta, the Ecumenical Order</w:t>
      </w:r>
      <w:r w:rsidR="00B56238" w:rsidRPr="00F14DB5">
        <w:rPr>
          <w:rFonts w:ascii="Times New Roman" w:eastAsia="Calibri" w:hAnsi="Times New Roman" w:cs="Times New Roman"/>
          <w:spacing w:val="-3"/>
          <w:sz w:val="26"/>
          <w:szCs w:val="26"/>
        </w:rPr>
        <w:t xml:space="preserve">, 809 F.3d 1171, 1183 (11th Cir. 2015) (applying, but criticizing as “an outlier,” circuit rule that marks covered by incontestable registrations are strong as a matter of law); </w:t>
      </w:r>
      <w:r w:rsidRPr="00F14DB5">
        <w:rPr>
          <w:rFonts w:ascii="Times New Roman" w:eastAsia="Times New Roman" w:hAnsi="Times New Roman" w:cs="Times New Roman"/>
          <w:i/>
          <w:sz w:val="26"/>
          <w:szCs w:val="26"/>
        </w:rPr>
        <w:t>Caliber Auto</w:t>
      </w:r>
      <w:r w:rsidR="00B56238" w:rsidRPr="00F14DB5">
        <w:rPr>
          <w:rFonts w:ascii="Times New Roman" w:eastAsia="Times New Roman" w:hAnsi="Times New Roman" w:cs="Times New Roman"/>
          <w:i/>
          <w:sz w:val="26"/>
          <w:szCs w:val="26"/>
        </w:rPr>
        <w:t>.</w:t>
      </w:r>
      <w:r w:rsidRPr="00F14DB5">
        <w:rPr>
          <w:rFonts w:ascii="Times New Roman" w:eastAsia="Times New Roman" w:hAnsi="Times New Roman" w:cs="Times New Roman"/>
          <w:i/>
          <w:sz w:val="26"/>
          <w:szCs w:val="26"/>
        </w:rPr>
        <w:t xml:space="preserve"> Liquidators, Inc. v. Premier Chrysler, Jeep, Dodge, LLC</w:t>
      </w:r>
      <w:r w:rsidRPr="00F14DB5">
        <w:rPr>
          <w:rFonts w:ascii="Times New Roman" w:eastAsia="Times New Roman" w:hAnsi="Times New Roman" w:cs="Times New Roman"/>
          <w:sz w:val="26"/>
          <w:szCs w:val="26"/>
        </w:rPr>
        <w:t>, 605 F.3d 931, 938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2010) (holding plaintiff’s incontestably registered service mark strong as a matter of law); </w:t>
      </w:r>
      <w:r w:rsidRPr="00F14DB5">
        <w:rPr>
          <w:rFonts w:ascii="Times New Roman" w:eastAsia="Times New Roman" w:hAnsi="Times New Roman" w:cs="Times New Roman"/>
          <w:i/>
          <w:sz w:val="26"/>
          <w:szCs w:val="26"/>
        </w:rPr>
        <w:t>Dieter v. B &amp; H Indus. of Sw. Fla., Inc.</w:t>
      </w:r>
      <w:r w:rsidRPr="00F14DB5">
        <w:rPr>
          <w:rFonts w:ascii="Times New Roman" w:eastAsia="Times New Roman" w:hAnsi="Times New Roman" w:cs="Times New Roman"/>
          <w:sz w:val="26"/>
          <w:szCs w:val="26"/>
        </w:rPr>
        <w:t>, 880 F.2d 322, 329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1989) (same).</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On the other hand, however, a number of the court’s decisions have departed from these bright-line rules in favor of an examination of the marketplace strength of the trademark sought to be protected. </w:t>
      </w:r>
      <w:r w:rsidRPr="00F14DB5">
        <w:rPr>
          <w:rFonts w:ascii="Times New Roman" w:eastAsia="Times New Roman" w:hAnsi="Times New Roman" w:cs="Times New Roman"/>
          <w:i/>
          <w:sz w:val="26"/>
          <w:szCs w:val="26"/>
        </w:rPr>
        <w:t>See, e.g.</w:t>
      </w:r>
      <w:r w:rsidRPr="005153CF">
        <w:rPr>
          <w:rFonts w:ascii="Times New Roman" w:eastAsia="Times New Roman" w:hAnsi="Times New Roman" w:cs="Times New Roman"/>
          <w:sz w:val="26"/>
          <w:szCs w:val="26"/>
        </w:rPr>
        <w:t>,</w:t>
      </w:r>
      <w:r w:rsidRPr="00F14DB5">
        <w:rPr>
          <w:rFonts w:ascii="Times New Roman" w:eastAsia="Times New Roman" w:hAnsi="Times New Roman" w:cs="Times New Roman"/>
          <w:i/>
          <w:sz w:val="26"/>
          <w:szCs w:val="26"/>
        </w:rPr>
        <w:t xml:space="preserve"> Citibank, N.A. v. Citibanc Grp.</w:t>
      </w:r>
      <w:r w:rsidRPr="00F14DB5">
        <w:rPr>
          <w:rFonts w:ascii="Times New Roman" w:eastAsia="Times New Roman" w:hAnsi="Times New Roman" w:cs="Times New Roman"/>
          <w:sz w:val="26"/>
          <w:szCs w:val="26"/>
        </w:rPr>
        <w:t>, 724 F.2d 1540, 1547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1984) (“The presumption of validity afforded plaintiff’s [registered] mark under the Lanham Act is not material to [whether confusion is likely].”); </w:t>
      </w:r>
      <w:r w:rsidRPr="00F14DB5">
        <w:rPr>
          <w:rFonts w:ascii="Times New Roman" w:eastAsia="Times New Roman" w:hAnsi="Times New Roman" w:cs="Times New Roman"/>
          <w:i/>
          <w:sz w:val="26"/>
          <w:szCs w:val="26"/>
        </w:rPr>
        <w:t>see also John H. Harland Co. v. Clarke Checks, Inc.</w:t>
      </w:r>
      <w:r w:rsidRPr="00F14DB5">
        <w:rPr>
          <w:rFonts w:ascii="Times New Roman" w:eastAsia="Times New Roman" w:hAnsi="Times New Roman" w:cs="Times New Roman"/>
          <w:sz w:val="26"/>
          <w:szCs w:val="26"/>
        </w:rPr>
        <w:t>, 711 F.2d 966, 974-75 n.13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1983) (“Of course, even if [the plaintiff’s mark] initially was weak, it may </w:t>
      </w:r>
      <w:r w:rsidRPr="00F14DB5">
        <w:rPr>
          <w:rFonts w:ascii="Times New Roman" w:eastAsia="Times New Roman" w:hAnsi="Times New Roman" w:cs="Times New Roman"/>
          <w:sz w:val="26"/>
          <w:szCs w:val="26"/>
        </w:rPr>
        <w:lastRenderedPageBreak/>
        <w:t xml:space="preserve">have subsequently acquired strength through [the plaintiff’s] promotional efforts.”). In particular, those opinions have often focused on the extent of third-party use of arguably similar marks. </w:t>
      </w:r>
      <w:r w:rsidRPr="00F14DB5">
        <w:rPr>
          <w:rFonts w:ascii="Times New Roman" w:eastAsia="Times New Roman" w:hAnsi="Times New Roman" w:cs="Times New Roman"/>
          <w:i/>
          <w:sz w:val="26"/>
          <w:szCs w:val="26"/>
        </w:rPr>
        <w:t>See, e.g.</w:t>
      </w:r>
      <w:r w:rsidRPr="005153CF">
        <w:rPr>
          <w:rFonts w:ascii="Times New Roman" w:eastAsia="Times New Roman" w:hAnsi="Times New Roman" w:cs="Times New Roman"/>
          <w:sz w:val="26"/>
          <w:szCs w:val="26"/>
        </w:rPr>
        <w:t>,</w:t>
      </w:r>
      <w:r w:rsidRPr="00F14DB5">
        <w:rPr>
          <w:rFonts w:ascii="Times New Roman" w:eastAsia="Times New Roman" w:hAnsi="Times New Roman" w:cs="Times New Roman"/>
          <w:i/>
          <w:sz w:val="26"/>
          <w:szCs w:val="26"/>
        </w:rPr>
        <w:t xml:space="preserve"> Freedom Sav. &amp; Loan Ass’n v. Way</w:t>
      </w:r>
      <w:r w:rsidRPr="00F14DB5">
        <w:rPr>
          <w:rFonts w:ascii="Times New Roman" w:eastAsia="Times New Roman" w:hAnsi="Times New Roman" w:cs="Times New Roman"/>
          <w:sz w:val="26"/>
          <w:szCs w:val="26"/>
        </w:rPr>
        <w:t>, 757 F.2d 1176, 1183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1985) (finding plaintiff’s suggestive mark weak as a matter of law on appeal based in part on evidence of third-party use); </w:t>
      </w:r>
      <w:r w:rsidRPr="00F14DB5">
        <w:rPr>
          <w:rFonts w:ascii="Times New Roman" w:eastAsia="Times New Roman" w:hAnsi="Times New Roman" w:cs="Times New Roman"/>
          <w:i/>
          <w:sz w:val="26"/>
          <w:szCs w:val="26"/>
        </w:rPr>
        <w:t>Exxon Corp. v. Tex. Motor Exch.</w:t>
      </w:r>
      <w:r w:rsidRPr="00F14DB5">
        <w:rPr>
          <w:rFonts w:ascii="Times New Roman" w:eastAsia="Times New Roman" w:hAnsi="Times New Roman" w:cs="Times New Roman"/>
          <w:sz w:val="26"/>
          <w:szCs w:val="26"/>
        </w:rPr>
        <w:t>, 628 F.2d 500, 504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1980) (affirming finding of trademark strength based on absence of evidence of third-party use); </w:t>
      </w:r>
      <w:r w:rsidRPr="00F14DB5">
        <w:rPr>
          <w:rFonts w:ascii="Times New Roman" w:eastAsia="Times New Roman" w:hAnsi="Times New Roman" w:cs="Times New Roman"/>
          <w:i/>
          <w:sz w:val="26"/>
          <w:szCs w:val="26"/>
        </w:rPr>
        <w:t>Amstar Corp. v. Domino’s Pizza, Inc.</w:t>
      </w:r>
      <w:r w:rsidRPr="00F14DB5">
        <w:rPr>
          <w:rFonts w:ascii="Times New Roman" w:eastAsia="Times New Roman" w:hAnsi="Times New Roman" w:cs="Times New Roman"/>
          <w:sz w:val="26"/>
          <w:szCs w:val="26"/>
        </w:rPr>
        <w:t>, 615 F.2d 252, 260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1980) (finding plaintiff’s arbitrary mark weak as a matter of law on appeal based in part on evidence of third-party use). These instructions therefore adopt a dual approach that focuses on both the conceptual strength of the Plaintiff’s trademark, as reflected in the trademark’s placement on the spectrum of distinctiveness, and its commercial strength, as reflected in these other considerations.</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Similarity or Dissimilarity of the Parties’ Trademarks</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Representative circuit case law applying this factor includes </w:t>
      </w:r>
      <w:r w:rsidRPr="00F14DB5">
        <w:rPr>
          <w:rFonts w:ascii="Times New Roman" w:eastAsia="Times New Roman" w:hAnsi="Times New Roman" w:cs="Times New Roman"/>
          <w:i/>
          <w:sz w:val="26"/>
          <w:szCs w:val="26"/>
        </w:rPr>
        <w:t>Welding Servs., Inc. v. Forman</w:t>
      </w:r>
      <w:r w:rsidRPr="00F14DB5">
        <w:rPr>
          <w:rFonts w:ascii="Times New Roman" w:eastAsia="Times New Roman" w:hAnsi="Times New Roman" w:cs="Times New Roman"/>
          <w:sz w:val="26"/>
          <w:szCs w:val="26"/>
        </w:rPr>
        <w:t>, 509 F.3d 1351, 1361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2007), </w:t>
      </w:r>
      <w:r w:rsidRPr="00F14DB5">
        <w:rPr>
          <w:rFonts w:ascii="Times New Roman" w:eastAsia="Times New Roman" w:hAnsi="Times New Roman" w:cs="Times New Roman"/>
          <w:i/>
          <w:sz w:val="26"/>
          <w:szCs w:val="26"/>
        </w:rPr>
        <w:t>Dippin’ Dots, Inc. v. Frosty Bites, Distrib., LLC</w:t>
      </w:r>
      <w:r w:rsidRPr="00F14DB5">
        <w:rPr>
          <w:rFonts w:ascii="Times New Roman" w:eastAsia="Times New Roman" w:hAnsi="Times New Roman" w:cs="Times New Roman"/>
          <w:sz w:val="26"/>
          <w:szCs w:val="26"/>
        </w:rPr>
        <w:t>, 369 F.3d 1197, 1207-09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2004). </w:t>
      </w:r>
      <w:r w:rsidRPr="00F14DB5">
        <w:rPr>
          <w:rFonts w:ascii="Times New Roman" w:eastAsia="Times New Roman" w:hAnsi="Times New Roman" w:cs="Times New Roman"/>
          <w:i/>
          <w:sz w:val="26"/>
          <w:szCs w:val="26"/>
        </w:rPr>
        <w:t>Frehling Enters. v. Int’l Select Grp.</w:t>
      </w:r>
      <w:r w:rsidRPr="00F14DB5">
        <w:rPr>
          <w:rFonts w:ascii="Times New Roman" w:eastAsia="Times New Roman" w:hAnsi="Times New Roman" w:cs="Times New Roman"/>
          <w:sz w:val="26"/>
          <w:szCs w:val="26"/>
        </w:rPr>
        <w:t>, 192 F.3d 1330, 1337-38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1999), </w:t>
      </w:r>
      <w:r w:rsidRPr="00F14DB5">
        <w:rPr>
          <w:rFonts w:ascii="Times New Roman" w:eastAsia="Times New Roman" w:hAnsi="Times New Roman" w:cs="Times New Roman"/>
          <w:i/>
          <w:sz w:val="26"/>
          <w:szCs w:val="26"/>
        </w:rPr>
        <w:t>Exxon Corp. v. Tex. Motor Exch.</w:t>
      </w:r>
      <w:r w:rsidRPr="00F14DB5">
        <w:rPr>
          <w:rFonts w:ascii="Times New Roman" w:eastAsia="Times New Roman" w:hAnsi="Times New Roman" w:cs="Times New Roman"/>
          <w:sz w:val="26"/>
          <w:szCs w:val="26"/>
        </w:rPr>
        <w:t>, 628 F.2d 500, 504-05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1980),</w:t>
      </w:r>
      <w:r w:rsidR="00B56238" w:rsidRPr="00F14DB5">
        <w:rPr>
          <w:rFonts w:ascii="Times New Roman" w:eastAsia="Times New Roman" w:hAnsi="Times New Roman" w:cs="Times New Roman"/>
          <w:sz w:val="26"/>
          <w:szCs w:val="26"/>
        </w:rPr>
        <w:t xml:space="preserve"> and</w:t>
      </w:r>
      <w:r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Eskay Drugs, Inc. v. Smith Kline &amp; French Labs.</w:t>
      </w:r>
      <w:r w:rsidRPr="00F14DB5">
        <w:rPr>
          <w:rFonts w:ascii="Times New Roman" w:eastAsia="Times New Roman" w:hAnsi="Times New Roman" w:cs="Times New Roman"/>
          <w:sz w:val="26"/>
          <w:szCs w:val="26"/>
        </w:rPr>
        <w:t>, 188 F.2d 430, 431-32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1951).</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Similarity or Dissimilarity of the Parties’ Goods</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Representative circuit case law applying this factor includes </w:t>
      </w:r>
      <w:r w:rsidRPr="00F14DB5">
        <w:rPr>
          <w:rFonts w:ascii="Times New Roman" w:eastAsia="Times New Roman" w:hAnsi="Times New Roman" w:cs="Times New Roman"/>
          <w:i/>
          <w:sz w:val="26"/>
          <w:szCs w:val="26"/>
        </w:rPr>
        <w:t>Tana v. Dantanna’s</w:t>
      </w:r>
      <w:r w:rsidRPr="00F14DB5">
        <w:rPr>
          <w:rFonts w:ascii="Times New Roman" w:eastAsia="Times New Roman" w:hAnsi="Times New Roman" w:cs="Times New Roman"/>
          <w:sz w:val="26"/>
          <w:szCs w:val="26"/>
        </w:rPr>
        <w:t>, 611 F.3d 767, 777-78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2010), </w:t>
      </w:r>
      <w:r w:rsidRPr="00F14DB5">
        <w:rPr>
          <w:rFonts w:ascii="Times New Roman" w:eastAsia="Times New Roman" w:hAnsi="Times New Roman" w:cs="Times New Roman"/>
          <w:i/>
          <w:sz w:val="26"/>
          <w:szCs w:val="26"/>
        </w:rPr>
        <w:t>AmBrit, Inc. v. Kraft, Inc.</w:t>
      </w:r>
      <w:r w:rsidRPr="00F14DB5">
        <w:rPr>
          <w:rFonts w:ascii="Times New Roman" w:eastAsia="Times New Roman" w:hAnsi="Times New Roman" w:cs="Times New Roman"/>
          <w:sz w:val="26"/>
          <w:szCs w:val="26"/>
        </w:rPr>
        <w:t>, 812 F.2d 1531, 1541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1986), </w:t>
      </w:r>
      <w:r w:rsidRPr="00F14DB5">
        <w:rPr>
          <w:rFonts w:ascii="Times New Roman" w:eastAsia="Times New Roman" w:hAnsi="Times New Roman" w:cs="Times New Roman"/>
          <w:i/>
          <w:sz w:val="26"/>
          <w:szCs w:val="26"/>
        </w:rPr>
        <w:t>Jellibea</w:t>
      </w:r>
      <w:r w:rsidR="00C26F27" w:rsidRPr="00F14DB5">
        <w:rPr>
          <w:rFonts w:ascii="Times New Roman" w:eastAsia="Times New Roman" w:hAnsi="Times New Roman" w:cs="Times New Roman"/>
          <w:i/>
          <w:sz w:val="26"/>
          <w:szCs w:val="26"/>
        </w:rPr>
        <w:t>ns, Inc. v. Skating Clubs of Ga.</w:t>
      </w:r>
      <w:r w:rsidRPr="00F14DB5">
        <w:rPr>
          <w:rFonts w:ascii="Times New Roman" w:eastAsia="Times New Roman" w:hAnsi="Times New Roman" w:cs="Times New Roman"/>
          <w:i/>
          <w:sz w:val="26"/>
          <w:szCs w:val="26"/>
        </w:rPr>
        <w:t xml:space="preserve"> Inc.</w:t>
      </w:r>
      <w:r w:rsidRPr="00F14DB5">
        <w:rPr>
          <w:rFonts w:ascii="Times New Roman" w:eastAsia="Times New Roman" w:hAnsi="Times New Roman" w:cs="Times New Roman"/>
          <w:sz w:val="26"/>
          <w:szCs w:val="26"/>
        </w:rPr>
        <w:t>, 716 F.2d 833, 842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1983), </w:t>
      </w:r>
      <w:r w:rsidRPr="00F14DB5">
        <w:rPr>
          <w:rFonts w:ascii="Times New Roman" w:eastAsia="Times New Roman" w:hAnsi="Times New Roman" w:cs="Times New Roman"/>
          <w:i/>
          <w:sz w:val="26"/>
          <w:szCs w:val="26"/>
        </w:rPr>
        <w:t>Original Appalachian Artworks, Inc. v. Toy Loft, Inc.</w:t>
      </w:r>
      <w:r w:rsidRPr="00F14DB5">
        <w:rPr>
          <w:rFonts w:ascii="Times New Roman" w:eastAsia="Times New Roman" w:hAnsi="Times New Roman" w:cs="Times New Roman"/>
          <w:sz w:val="26"/>
          <w:szCs w:val="26"/>
        </w:rPr>
        <w:t>, 684 F.2d 821, 832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1982), and </w:t>
      </w:r>
      <w:r w:rsidRPr="00F14DB5">
        <w:rPr>
          <w:rFonts w:ascii="Times New Roman" w:eastAsia="Times New Roman" w:hAnsi="Times New Roman" w:cs="Times New Roman"/>
          <w:i/>
          <w:sz w:val="26"/>
          <w:szCs w:val="26"/>
        </w:rPr>
        <w:t>Safeway Stores, Inc. v. Safeway Discount Drugs, Inc.</w:t>
      </w:r>
      <w:r w:rsidRPr="00F14DB5">
        <w:rPr>
          <w:rFonts w:ascii="Times New Roman" w:eastAsia="Times New Roman" w:hAnsi="Times New Roman" w:cs="Times New Roman"/>
          <w:sz w:val="26"/>
          <w:szCs w:val="26"/>
        </w:rPr>
        <w:t>, 675 F.2d 1160, 1166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1982).</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Similarity or Dissimilarity of the Parties’ Retail Outlets and Purchasers</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Representative circuit case law applying this factor includes </w:t>
      </w:r>
      <w:r w:rsidRPr="00F14DB5">
        <w:rPr>
          <w:rFonts w:ascii="Times New Roman" w:eastAsia="Times New Roman" w:hAnsi="Times New Roman" w:cs="Times New Roman"/>
          <w:i/>
          <w:sz w:val="26"/>
          <w:szCs w:val="26"/>
        </w:rPr>
        <w:t>Carnival Brands Seafood</w:t>
      </w:r>
      <w:r w:rsidR="00C26F27" w:rsidRPr="00F14DB5">
        <w:rPr>
          <w:rFonts w:ascii="Times New Roman" w:eastAsia="Times New Roman" w:hAnsi="Times New Roman" w:cs="Times New Roman"/>
          <w:i/>
          <w:sz w:val="26"/>
          <w:szCs w:val="26"/>
        </w:rPr>
        <w:t xml:space="preserve"> </w:t>
      </w:r>
      <w:r w:rsidRPr="00F14DB5">
        <w:rPr>
          <w:rFonts w:ascii="Times New Roman" w:eastAsia="Times New Roman" w:hAnsi="Times New Roman" w:cs="Times New Roman"/>
          <w:i/>
          <w:sz w:val="26"/>
          <w:szCs w:val="26"/>
        </w:rPr>
        <w:t>v. Carnival Brands, Inc.</w:t>
      </w:r>
      <w:r w:rsidRPr="00F14DB5">
        <w:rPr>
          <w:rFonts w:ascii="Times New Roman" w:eastAsia="Times New Roman" w:hAnsi="Times New Roman" w:cs="Times New Roman"/>
          <w:sz w:val="26"/>
          <w:szCs w:val="26"/>
        </w:rPr>
        <w:t>, 187 F.3d 1307, 1313-14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1999), </w:t>
      </w:r>
      <w:r w:rsidRPr="00F14DB5">
        <w:rPr>
          <w:rFonts w:ascii="Times New Roman" w:eastAsia="Times New Roman" w:hAnsi="Times New Roman" w:cs="Times New Roman"/>
          <w:i/>
          <w:sz w:val="26"/>
          <w:szCs w:val="26"/>
        </w:rPr>
        <w:t>John H. Harland Co. v. Clarke Checks, Inc.</w:t>
      </w:r>
      <w:r w:rsidRPr="00F14DB5">
        <w:rPr>
          <w:rFonts w:ascii="Times New Roman" w:eastAsia="Times New Roman" w:hAnsi="Times New Roman" w:cs="Times New Roman"/>
          <w:sz w:val="26"/>
          <w:szCs w:val="26"/>
        </w:rPr>
        <w:t>, 711 F.2d 966, 976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1983), </w:t>
      </w:r>
      <w:r w:rsidRPr="00F14DB5">
        <w:rPr>
          <w:rFonts w:ascii="Times New Roman" w:eastAsia="Times New Roman" w:hAnsi="Times New Roman" w:cs="Times New Roman"/>
          <w:i/>
          <w:sz w:val="26"/>
          <w:szCs w:val="26"/>
        </w:rPr>
        <w:t>Amstar Corp. v. Domino’s Pizza, Inc.</w:t>
      </w:r>
      <w:r w:rsidRPr="00F14DB5">
        <w:rPr>
          <w:rFonts w:ascii="Times New Roman" w:eastAsia="Times New Roman" w:hAnsi="Times New Roman" w:cs="Times New Roman"/>
          <w:sz w:val="26"/>
          <w:szCs w:val="26"/>
        </w:rPr>
        <w:t>, 615 F.2d 252, 262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1980)</w:t>
      </w:r>
      <w:r w:rsidR="00B56238"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Exxon Corp. v. Tex</w:t>
      </w:r>
      <w:r w:rsidR="00C26F27" w:rsidRPr="00F14DB5">
        <w:rPr>
          <w:rFonts w:ascii="Times New Roman" w:eastAsia="Times New Roman" w:hAnsi="Times New Roman" w:cs="Times New Roman"/>
          <w:i/>
          <w:sz w:val="26"/>
          <w:szCs w:val="26"/>
        </w:rPr>
        <w:t xml:space="preserve">as </w:t>
      </w:r>
      <w:r w:rsidRPr="00F14DB5">
        <w:rPr>
          <w:rFonts w:ascii="Times New Roman" w:eastAsia="Times New Roman" w:hAnsi="Times New Roman" w:cs="Times New Roman"/>
          <w:i/>
          <w:sz w:val="26"/>
          <w:szCs w:val="26"/>
        </w:rPr>
        <w:t>Motor Exch.</w:t>
      </w:r>
      <w:r w:rsidRPr="00F14DB5">
        <w:rPr>
          <w:rFonts w:ascii="Times New Roman" w:eastAsia="Times New Roman" w:hAnsi="Times New Roman" w:cs="Times New Roman"/>
          <w:sz w:val="26"/>
          <w:szCs w:val="26"/>
        </w:rPr>
        <w:t>, 628 F.2d 500, 505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1980), and </w:t>
      </w:r>
      <w:r w:rsidRPr="00F14DB5">
        <w:rPr>
          <w:rFonts w:ascii="Times New Roman" w:eastAsia="Times New Roman" w:hAnsi="Times New Roman" w:cs="Times New Roman"/>
          <w:i/>
          <w:sz w:val="26"/>
          <w:szCs w:val="26"/>
        </w:rPr>
        <w:t>Pure Foods, Inc. v. Minute Maid Corp.</w:t>
      </w:r>
      <w:r w:rsidRPr="00F14DB5">
        <w:rPr>
          <w:rFonts w:ascii="Times New Roman" w:eastAsia="Times New Roman" w:hAnsi="Times New Roman" w:cs="Times New Roman"/>
          <w:sz w:val="26"/>
          <w:szCs w:val="26"/>
        </w:rPr>
        <w:t>, 214 F.2d 792, 797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1954).</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Similarity or Dissimilarity of the Parties’ Advertising Media</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Representative circuit case law applying this factor includes </w:t>
      </w:r>
      <w:r w:rsidRPr="00F14DB5">
        <w:rPr>
          <w:rFonts w:ascii="Times New Roman" w:eastAsia="Times New Roman" w:hAnsi="Times New Roman" w:cs="Times New Roman"/>
          <w:i/>
          <w:sz w:val="26"/>
          <w:szCs w:val="26"/>
        </w:rPr>
        <w:t>Tana v. Dantanna’s</w:t>
      </w:r>
      <w:r w:rsidRPr="00F14DB5">
        <w:rPr>
          <w:rFonts w:ascii="Times New Roman" w:eastAsia="Times New Roman" w:hAnsi="Times New Roman" w:cs="Times New Roman"/>
          <w:sz w:val="26"/>
          <w:szCs w:val="26"/>
        </w:rPr>
        <w:t>, 611 F.3d 767, 776-77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2010), </w:t>
      </w:r>
      <w:r w:rsidRPr="00F14DB5">
        <w:rPr>
          <w:rFonts w:ascii="Times New Roman" w:eastAsia="Times New Roman" w:hAnsi="Times New Roman" w:cs="Times New Roman"/>
          <w:i/>
          <w:sz w:val="26"/>
          <w:szCs w:val="26"/>
        </w:rPr>
        <w:t>John H. Harland Co. v. Clarke Checks, Inc.</w:t>
      </w:r>
      <w:r w:rsidRPr="00F14DB5">
        <w:rPr>
          <w:rFonts w:ascii="Times New Roman" w:eastAsia="Times New Roman" w:hAnsi="Times New Roman" w:cs="Times New Roman"/>
          <w:sz w:val="26"/>
          <w:szCs w:val="26"/>
        </w:rPr>
        <w:t xml:space="preserve">, 711 </w:t>
      </w:r>
      <w:r w:rsidRPr="00F14DB5">
        <w:rPr>
          <w:rFonts w:ascii="Times New Roman" w:eastAsia="Times New Roman" w:hAnsi="Times New Roman" w:cs="Times New Roman"/>
          <w:sz w:val="26"/>
          <w:szCs w:val="26"/>
        </w:rPr>
        <w:lastRenderedPageBreak/>
        <w:t>F.2d 966, 967-77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1983), </w:t>
      </w:r>
      <w:r w:rsidRPr="00F14DB5">
        <w:rPr>
          <w:rFonts w:ascii="Times New Roman" w:eastAsia="Times New Roman" w:hAnsi="Times New Roman" w:cs="Times New Roman"/>
          <w:i/>
          <w:sz w:val="26"/>
          <w:szCs w:val="26"/>
        </w:rPr>
        <w:t>Exxon Corp. v. Tex. Motor Exch.</w:t>
      </w:r>
      <w:r w:rsidRPr="00F14DB5">
        <w:rPr>
          <w:rFonts w:ascii="Times New Roman" w:eastAsia="Times New Roman" w:hAnsi="Times New Roman" w:cs="Times New Roman"/>
          <w:sz w:val="26"/>
          <w:szCs w:val="26"/>
        </w:rPr>
        <w:t>, 628 F.2d 500, 506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1980), and </w:t>
      </w:r>
      <w:r w:rsidRPr="00F14DB5">
        <w:rPr>
          <w:rFonts w:ascii="Times New Roman" w:eastAsia="Times New Roman" w:hAnsi="Times New Roman" w:cs="Times New Roman"/>
          <w:i/>
          <w:sz w:val="26"/>
          <w:szCs w:val="26"/>
        </w:rPr>
        <w:t>Volkswagenwerk Aktiengesellschaft v. Rickard</w:t>
      </w:r>
      <w:r w:rsidRPr="00F14DB5">
        <w:rPr>
          <w:rFonts w:ascii="Times New Roman" w:eastAsia="Times New Roman" w:hAnsi="Times New Roman" w:cs="Times New Roman"/>
          <w:sz w:val="26"/>
          <w:szCs w:val="26"/>
        </w:rPr>
        <w:t>, 492 F.2d 474, 478 (5</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1974).</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Actual Confusion</w:t>
      </w:r>
    </w:p>
    <w:p w:rsidR="00E35EED" w:rsidRPr="00F14DB5" w:rsidRDefault="00E35EED" w:rsidP="001958B4">
      <w:pPr>
        <w:spacing w:after="240" w:line="240" w:lineRule="auto"/>
        <w:ind w:left="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Under Eleventh Circuit law:</w:t>
      </w:r>
    </w:p>
    <w:p w:rsidR="00E35EED" w:rsidRPr="00F14DB5" w:rsidRDefault="00E35EED" w:rsidP="001958B4">
      <w:pPr>
        <w:spacing w:after="240" w:line="240" w:lineRule="auto"/>
        <w:ind w:left="720" w:right="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There can be no more positive or substantial proof of the likelihood of confusion than proof of actual confusion. Moreover, reason tells us that while very little proof of actual confusion would be necessary to prove the likelihood of confusion, an almost overwhelming amount of proof would be necessary to refute such proof.</w:t>
      </w:r>
    </w:p>
    <w:p w:rsidR="00E35EED" w:rsidRPr="00F14DB5" w:rsidRDefault="00E35EED" w:rsidP="001958B4">
      <w:pPr>
        <w:spacing w:after="240" w:line="240" w:lineRule="auto"/>
        <w:jc w:val="both"/>
        <w:rPr>
          <w:rFonts w:ascii="Times New Roman" w:eastAsia="Times New Roman" w:hAnsi="Times New Roman" w:cs="Times New Roman"/>
          <w:sz w:val="26"/>
          <w:szCs w:val="26"/>
        </w:rPr>
      </w:pPr>
      <w:r w:rsidRPr="00F14DB5">
        <w:rPr>
          <w:rFonts w:ascii="Times New Roman" w:eastAsia="Times New Roman" w:hAnsi="Times New Roman" w:cs="Times New Roman"/>
          <w:i/>
          <w:sz w:val="26"/>
          <w:szCs w:val="26"/>
        </w:rPr>
        <w:t>World Carpets, Inc. v. Dick Littrell’s New World Carpets</w:t>
      </w:r>
      <w:r w:rsidRPr="00F14DB5">
        <w:rPr>
          <w:rFonts w:ascii="Times New Roman" w:eastAsia="Times New Roman" w:hAnsi="Times New Roman" w:cs="Times New Roman"/>
          <w:sz w:val="26"/>
          <w:szCs w:val="26"/>
        </w:rPr>
        <w:t>, 438 F.2d 482, 489 (5th Cir. 1971) (footnote omitted).</w:t>
      </w:r>
    </w:p>
    <w:p w:rsidR="00E35EED" w:rsidRPr="00F14DB5" w:rsidRDefault="00E35EED" w:rsidP="001958B4">
      <w:pPr>
        <w:spacing w:after="240" w:line="240" w:lineRule="auto"/>
        <w:ind w:firstLine="720"/>
        <w:jc w:val="both"/>
        <w:rPr>
          <w:rFonts w:ascii="Times New Roman" w:eastAsia="Times New Roman" w:hAnsi="Times New Roman" w:cs="Times New Roman"/>
          <w:i/>
          <w:sz w:val="26"/>
          <w:szCs w:val="26"/>
        </w:rPr>
      </w:pPr>
      <w:r w:rsidRPr="00F14DB5">
        <w:rPr>
          <w:rFonts w:ascii="Times New Roman" w:eastAsia="Times New Roman" w:hAnsi="Times New Roman" w:cs="Times New Roman"/>
          <w:sz w:val="26"/>
          <w:szCs w:val="26"/>
        </w:rPr>
        <w:t xml:space="preserve">Nevertheless, the Eleventh Circuit has held that “there is no absolute scale as to how many instances of actual confusion establish the existence of that factor.” </w:t>
      </w:r>
      <w:r w:rsidRPr="00F14DB5">
        <w:rPr>
          <w:rFonts w:ascii="Times New Roman" w:eastAsia="Times New Roman" w:hAnsi="Times New Roman" w:cs="Times New Roman"/>
          <w:i/>
          <w:sz w:val="26"/>
          <w:szCs w:val="26"/>
        </w:rPr>
        <w:t>See AmBrit, Inc. v. Kraft, Inc.</w:t>
      </w:r>
      <w:r w:rsidRPr="00F14DB5">
        <w:rPr>
          <w:rFonts w:ascii="Times New Roman" w:eastAsia="Times New Roman" w:hAnsi="Times New Roman" w:cs="Times New Roman"/>
          <w:sz w:val="26"/>
          <w:szCs w:val="26"/>
        </w:rPr>
        <w:t>, 812 F.2d 1531, 1543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1986). The sufficiency of “actual confusion” evidence depends on the circumstances. These circumstances can include the amount of actual confusion in the context of the case. </w:t>
      </w:r>
      <w:r w:rsidRPr="00F14DB5">
        <w:rPr>
          <w:rFonts w:ascii="Times New Roman" w:eastAsia="Times New Roman" w:hAnsi="Times New Roman" w:cs="Times New Roman"/>
          <w:i/>
          <w:sz w:val="26"/>
          <w:szCs w:val="26"/>
        </w:rPr>
        <w:t xml:space="preserve">Compare </w:t>
      </w:r>
      <w:r w:rsidR="00B56238" w:rsidRPr="00F14DB5">
        <w:rPr>
          <w:rFonts w:ascii="Times New Roman" w:eastAsia="Century Schoolbook" w:hAnsi="Times New Roman" w:cs="Times New Roman"/>
          <w:i/>
          <w:color w:val="231F20"/>
          <w:sz w:val="26"/>
          <w:szCs w:val="26"/>
        </w:rPr>
        <w:t>Tana v. Dantanna’s</w:t>
      </w:r>
      <w:r w:rsidR="00B56238" w:rsidRPr="00F14DB5">
        <w:rPr>
          <w:rFonts w:ascii="Times New Roman" w:eastAsia="Calibri" w:hAnsi="Times New Roman" w:cs="Times New Roman"/>
          <w:color w:val="231F20"/>
          <w:sz w:val="26"/>
          <w:szCs w:val="26"/>
        </w:rPr>
        <w:t>, 611 F.3d 767</w:t>
      </w:r>
      <w:r w:rsidR="00B56238"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779 </w:t>
      </w:r>
      <w:r w:rsidR="00B56238" w:rsidRPr="00F14DB5">
        <w:rPr>
          <w:rFonts w:ascii="Times New Roman" w:eastAsia="Times New Roman" w:hAnsi="Times New Roman" w:cs="Times New Roman"/>
          <w:sz w:val="26"/>
          <w:szCs w:val="26"/>
        </w:rPr>
        <w:t xml:space="preserve">(11th Cir. 2010) </w:t>
      </w:r>
      <w:r w:rsidRPr="00F14DB5">
        <w:rPr>
          <w:rFonts w:ascii="Times New Roman" w:eastAsia="Times New Roman" w:hAnsi="Times New Roman" w:cs="Times New Roman"/>
          <w:sz w:val="26"/>
          <w:szCs w:val="26"/>
        </w:rPr>
        <w:t>(affirming finding of no infringement based in part on testimony of only two instances of actual confusion)</w:t>
      </w:r>
      <w:r w:rsidR="00B56238"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w:t>
      </w:r>
      <w:r w:rsidRPr="005153CF">
        <w:rPr>
          <w:rFonts w:ascii="Times New Roman" w:eastAsia="Times New Roman" w:hAnsi="Times New Roman" w:cs="Times New Roman"/>
          <w:i/>
          <w:sz w:val="26"/>
          <w:szCs w:val="26"/>
        </w:rPr>
        <w:t>and</w:t>
      </w:r>
      <w:r w:rsidRPr="00F14DB5">
        <w:rPr>
          <w:rFonts w:ascii="Times New Roman" w:eastAsia="Times New Roman" w:hAnsi="Times New Roman" w:cs="Times New Roman"/>
          <w:sz w:val="26"/>
          <w:szCs w:val="26"/>
        </w:rPr>
        <w:t xml:space="preserve"> </w:t>
      </w:r>
      <w:r w:rsidRPr="00F14DB5">
        <w:rPr>
          <w:rFonts w:ascii="Times New Roman" w:hAnsi="Times New Roman" w:cs="Times New Roman"/>
          <w:i/>
          <w:iCs/>
          <w:color w:val="1E1E1E"/>
          <w:sz w:val="26"/>
          <w:szCs w:val="26"/>
        </w:rPr>
        <w:t xml:space="preserve">Sun Banks v. </w:t>
      </w:r>
      <w:r w:rsidRPr="00F14DB5">
        <w:rPr>
          <w:rFonts w:ascii="Times New Roman" w:eastAsia="Times New Roman" w:hAnsi="Times New Roman" w:cs="Times New Roman"/>
          <w:i/>
          <w:sz w:val="26"/>
          <w:szCs w:val="26"/>
        </w:rPr>
        <w:t>Sun Fed</w:t>
      </w:r>
      <w:r w:rsidR="00C26F27" w:rsidRPr="00F14DB5">
        <w:rPr>
          <w:rFonts w:ascii="Times New Roman" w:eastAsia="Times New Roman" w:hAnsi="Times New Roman" w:cs="Times New Roman"/>
          <w:i/>
          <w:sz w:val="26"/>
          <w:szCs w:val="26"/>
        </w:rPr>
        <w:t xml:space="preserve">. </w:t>
      </w:r>
      <w:r w:rsidRPr="00F14DB5">
        <w:rPr>
          <w:rFonts w:ascii="Times New Roman" w:eastAsia="Times New Roman" w:hAnsi="Times New Roman" w:cs="Times New Roman"/>
          <w:i/>
          <w:sz w:val="26"/>
          <w:szCs w:val="26"/>
        </w:rPr>
        <w:t>Sav. &amp; Loan</w:t>
      </w:r>
      <w:r w:rsidRPr="00F14DB5">
        <w:rPr>
          <w:rFonts w:ascii="Times New Roman" w:eastAsia="Times New Roman" w:hAnsi="Times New Roman" w:cs="Times New Roman"/>
          <w:sz w:val="26"/>
          <w:szCs w:val="26"/>
        </w:rPr>
        <w:t>,</w:t>
      </w:r>
      <w:r w:rsidRPr="00F14DB5">
        <w:rPr>
          <w:rFonts w:ascii="Times New Roman" w:hAnsi="Times New Roman" w:cs="Times New Roman"/>
          <w:color w:val="1E1E1E"/>
          <w:sz w:val="26"/>
          <w:szCs w:val="26"/>
        </w:rPr>
        <w:t xml:space="preserve"> 651 F.2d 311, 319 (5</w:t>
      </w:r>
      <w:r w:rsidR="00B56238" w:rsidRPr="00F14DB5">
        <w:rPr>
          <w:rFonts w:ascii="Times New Roman" w:hAnsi="Times New Roman" w:cs="Times New Roman"/>
          <w:color w:val="1E1E1E"/>
          <w:sz w:val="26"/>
          <w:szCs w:val="26"/>
        </w:rPr>
        <w:t>th</w:t>
      </w:r>
      <w:r w:rsidRPr="00F14DB5">
        <w:rPr>
          <w:rFonts w:ascii="Times New Roman" w:hAnsi="Times New Roman" w:cs="Times New Roman"/>
          <w:color w:val="1E1E1E"/>
          <w:sz w:val="26"/>
          <w:szCs w:val="26"/>
        </w:rPr>
        <w:t xml:space="preserve"> Cir. 1981) (nineteen reports of actual confusion over a three-year period was insufficient to establish a finding of actual confusion under the circumstances in that case)</w:t>
      </w:r>
      <w:r w:rsidR="00B56238" w:rsidRPr="00F14DB5">
        <w:rPr>
          <w:rFonts w:ascii="Times New Roman" w:hAnsi="Times New Roman" w:cs="Times New Roman"/>
          <w:color w:val="1E1E1E"/>
          <w:sz w:val="26"/>
          <w:szCs w:val="26"/>
        </w:rPr>
        <w:t>,</w:t>
      </w:r>
      <w:r w:rsidRPr="00F14DB5">
        <w:rPr>
          <w:rFonts w:ascii="Times New Roman" w:hAnsi="Times New Roman" w:cs="Times New Roman"/>
          <w:color w:val="1E1E1E"/>
          <w:sz w:val="26"/>
          <w:szCs w:val="26"/>
        </w:rPr>
        <w:t xml:space="preserve"> </w:t>
      </w:r>
      <w:r w:rsidRPr="00F14DB5">
        <w:rPr>
          <w:rFonts w:ascii="Times New Roman" w:hAnsi="Times New Roman" w:cs="Times New Roman"/>
          <w:i/>
          <w:color w:val="1E1E1E"/>
          <w:sz w:val="26"/>
          <w:szCs w:val="26"/>
        </w:rPr>
        <w:t xml:space="preserve">with </w:t>
      </w:r>
      <w:r w:rsidRPr="00F14DB5">
        <w:rPr>
          <w:rFonts w:ascii="Times New Roman" w:hAnsi="Times New Roman" w:cs="Times New Roman"/>
          <w:i/>
          <w:iCs/>
          <w:color w:val="1E1E1E"/>
          <w:sz w:val="26"/>
          <w:szCs w:val="26"/>
        </w:rPr>
        <w:t xml:space="preserve">Jellibeans, Inc. v. </w:t>
      </w:r>
      <w:r w:rsidRPr="00F14DB5">
        <w:rPr>
          <w:rFonts w:ascii="Times New Roman" w:eastAsia="Times New Roman" w:hAnsi="Times New Roman" w:cs="Times New Roman"/>
          <w:i/>
          <w:sz w:val="26"/>
          <w:szCs w:val="26"/>
        </w:rPr>
        <w:t>Skating Clubs of Ga., Inc.</w:t>
      </w:r>
      <w:r w:rsidRPr="00F14DB5">
        <w:rPr>
          <w:rFonts w:ascii="Times New Roman" w:eastAsia="Times New Roman" w:hAnsi="Times New Roman" w:cs="Times New Roman"/>
          <w:sz w:val="26"/>
          <w:szCs w:val="26"/>
        </w:rPr>
        <w:t>,</w:t>
      </w:r>
      <w:r w:rsidRPr="00F14DB5">
        <w:rPr>
          <w:rFonts w:ascii="Times New Roman" w:hAnsi="Times New Roman" w:cs="Times New Roman"/>
          <w:color w:val="1E1E1E"/>
          <w:sz w:val="26"/>
          <w:szCs w:val="26"/>
        </w:rPr>
        <w:t xml:space="preserve"> 716 F.2d 833, 844 (11</w:t>
      </w:r>
      <w:r w:rsidR="00B56238" w:rsidRPr="00F14DB5">
        <w:rPr>
          <w:rFonts w:ascii="Times New Roman" w:hAnsi="Times New Roman" w:cs="Times New Roman"/>
          <w:color w:val="1E1E1E"/>
          <w:sz w:val="26"/>
          <w:szCs w:val="26"/>
        </w:rPr>
        <w:t>th</w:t>
      </w:r>
      <w:r w:rsidRPr="00F14DB5">
        <w:rPr>
          <w:rFonts w:ascii="Times New Roman" w:hAnsi="Times New Roman" w:cs="Times New Roman"/>
          <w:color w:val="1E1E1E"/>
          <w:sz w:val="26"/>
          <w:szCs w:val="26"/>
        </w:rPr>
        <w:t xml:space="preserve"> Cir. 1983) (testimony of three witnesses sufficient to support a finding of actual confusion)</w:t>
      </w:r>
      <w:r w:rsidR="00B56238" w:rsidRPr="00F14DB5">
        <w:rPr>
          <w:rFonts w:ascii="Times New Roman" w:hAnsi="Times New Roman" w:cs="Times New Roman"/>
          <w:color w:val="1E1E1E"/>
          <w:sz w:val="26"/>
          <w:szCs w:val="26"/>
        </w:rPr>
        <w:t>,</w:t>
      </w:r>
      <w:r w:rsidRPr="00F14DB5">
        <w:rPr>
          <w:rFonts w:ascii="Times New Roman" w:hAnsi="Times New Roman" w:cs="Times New Roman"/>
          <w:color w:val="1E1E1E"/>
          <w:sz w:val="26"/>
          <w:szCs w:val="26"/>
        </w:rPr>
        <w:t xml:space="preserve"> </w:t>
      </w:r>
      <w:r w:rsidRPr="005153CF">
        <w:rPr>
          <w:rFonts w:ascii="Times New Roman" w:hAnsi="Times New Roman" w:cs="Times New Roman"/>
          <w:i/>
          <w:color w:val="1E1E1E"/>
          <w:sz w:val="26"/>
          <w:szCs w:val="26"/>
        </w:rPr>
        <w:t xml:space="preserve">and </w:t>
      </w:r>
      <w:r w:rsidRPr="00F14DB5">
        <w:rPr>
          <w:rFonts w:ascii="Times New Roman" w:eastAsia="Times New Roman" w:hAnsi="Times New Roman" w:cs="Times New Roman"/>
          <w:i/>
          <w:sz w:val="26"/>
          <w:szCs w:val="26"/>
        </w:rPr>
        <w:t>Roto-Rooter Corp. v. O’Neal</w:t>
      </w:r>
      <w:r w:rsidRPr="00F14DB5">
        <w:rPr>
          <w:rFonts w:ascii="Times New Roman" w:eastAsia="Times New Roman" w:hAnsi="Times New Roman" w:cs="Times New Roman"/>
          <w:sz w:val="26"/>
          <w:szCs w:val="26"/>
        </w:rPr>
        <w:t>,</w:t>
      </w:r>
      <w:r w:rsidRPr="00F14DB5">
        <w:rPr>
          <w:rFonts w:ascii="Times New Roman" w:hAnsi="Times New Roman" w:cs="Times New Roman"/>
          <w:color w:val="1E1E1E"/>
          <w:sz w:val="26"/>
          <w:szCs w:val="26"/>
        </w:rPr>
        <w:t xml:space="preserve"> 513 F.2d 44, 46 (5</w:t>
      </w:r>
      <w:r w:rsidR="00B56238" w:rsidRPr="00F14DB5">
        <w:rPr>
          <w:rFonts w:ascii="Times New Roman" w:hAnsi="Times New Roman" w:cs="Times New Roman"/>
          <w:color w:val="1E1E1E"/>
          <w:sz w:val="26"/>
          <w:szCs w:val="26"/>
        </w:rPr>
        <w:t>th</w:t>
      </w:r>
      <w:r w:rsidRPr="00F14DB5">
        <w:rPr>
          <w:rFonts w:ascii="Times New Roman" w:hAnsi="Times New Roman" w:cs="Times New Roman"/>
          <w:color w:val="1E1E1E"/>
          <w:sz w:val="26"/>
          <w:szCs w:val="26"/>
        </w:rPr>
        <w:t xml:space="preserve"> Cir. 1975) (reversing trial court for applying a test of “statistically significant” confusion and finding confusion likely as a matter of law based on testimony of four instances of actual confusion). They can also include the type of person who was allegedly confused. </w:t>
      </w:r>
      <w:r w:rsidRPr="00F14DB5">
        <w:rPr>
          <w:rFonts w:ascii="Times New Roman" w:hAnsi="Times New Roman" w:cs="Times New Roman"/>
          <w:i/>
          <w:color w:val="1E1E1E"/>
          <w:sz w:val="26"/>
          <w:szCs w:val="26"/>
        </w:rPr>
        <w:t xml:space="preserve">Compare </w:t>
      </w:r>
      <w:r w:rsidRPr="00F14DB5">
        <w:rPr>
          <w:rFonts w:ascii="Times New Roman" w:eastAsia="Times New Roman" w:hAnsi="Times New Roman" w:cs="Times New Roman"/>
          <w:i/>
          <w:sz w:val="26"/>
          <w:szCs w:val="26"/>
        </w:rPr>
        <w:t>Frehling Enters. v. Int’l Select Grp.</w:t>
      </w:r>
      <w:r w:rsidRPr="00F14DB5">
        <w:rPr>
          <w:rFonts w:ascii="Times New Roman" w:eastAsia="Times New Roman" w:hAnsi="Times New Roman" w:cs="Times New Roman"/>
          <w:sz w:val="26"/>
          <w:szCs w:val="26"/>
        </w:rPr>
        <w:t>,</w:t>
      </w:r>
      <w:r w:rsidRPr="00F14DB5">
        <w:rPr>
          <w:rFonts w:ascii="Times New Roman" w:hAnsi="Times New Roman" w:cs="Times New Roman"/>
          <w:sz w:val="26"/>
          <w:szCs w:val="26"/>
        </w:rPr>
        <w:t xml:space="preserve"> 192 F.3d 1330, 1341 (11</w:t>
      </w:r>
      <w:r w:rsidR="00B56238" w:rsidRPr="00F14DB5">
        <w:rPr>
          <w:rFonts w:ascii="Times New Roman" w:hAnsi="Times New Roman" w:cs="Times New Roman"/>
          <w:sz w:val="26"/>
          <w:szCs w:val="26"/>
        </w:rPr>
        <w:t>th</w:t>
      </w:r>
      <w:r w:rsidRPr="00F14DB5">
        <w:rPr>
          <w:rFonts w:ascii="Times New Roman" w:hAnsi="Times New Roman" w:cs="Times New Roman"/>
          <w:sz w:val="26"/>
          <w:szCs w:val="26"/>
        </w:rPr>
        <w:t xml:space="preserve"> Cir. 1999) (reversing finding of no likelihood of confusion based in part on evidence of confusion by plaintiff’s professional buyer)</w:t>
      </w:r>
      <w:r w:rsidR="00B56238" w:rsidRPr="00F14DB5">
        <w:rPr>
          <w:rFonts w:ascii="Times New Roman" w:hAnsi="Times New Roman" w:cs="Times New Roman"/>
          <w:sz w:val="26"/>
          <w:szCs w:val="26"/>
        </w:rPr>
        <w:t>,</w:t>
      </w:r>
      <w:r w:rsidRPr="00F14DB5">
        <w:rPr>
          <w:rFonts w:ascii="Times New Roman" w:hAnsi="Times New Roman" w:cs="Times New Roman"/>
          <w:sz w:val="26"/>
          <w:szCs w:val="26"/>
        </w:rPr>
        <w:t xml:space="preserve"> </w:t>
      </w:r>
      <w:r w:rsidRPr="005153CF">
        <w:rPr>
          <w:rFonts w:ascii="Times New Roman" w:hAnsi="Times New Roman" w:cs="Times New Roman"/>
          <w:i/>
          <w:sz w:val="26"/>
          <w:szCs w:val="26"/>
        </w:rPr>
        <w:t>and</w:t>
      </w:r>
      <w:r w:rsidRPr="00F14DB5">
        <w:rPr>
          <w:rFonts w:ascii="Times New Roman" w:hAnsi="Times New Roman" w:cs="Times New Roman"/>
          <w:sz w:val="26"/>
          <w:szCs w:val="26"/>
        </w:rPr>
        <w:t xml:space="preserve"> </w:t>
      </w:r>
      <w:r w:rsidRPr="00F14DB5">
        <w:rPr>
          <w:rFonts w:ascii="Times New Roman" w:hAnsi="Times New Roman" w:cs="Times New Roman"/>
          <w:i/>
          <w:sz w:val="26"/>
          <w:szCs w:val="26"/>
        </w:rPr>
        <w:t>Conagra, Inc. v. Singleton</w:t>
      </w:r>
      <w:r w:rsidRPr="00F14DB5">
        <w:rPr>
          <w:rFonts w:ascii="Times New Roman" w:hAnsi="Times New Roman" w:cs="Times New Roman"/>
          <w:sz w:val="26"/>
          <w:szCs w:val="26"/>
        </w:rPr>
        <w:t>, 743 F.2d 1508, 1510 n.10 (11</w:t>
      </w:r>
      <w:r w:rsidR="00B56238" w:rsidRPr="00F14DB5">
        <w:rPr>
          <w:rFonts w:ascii="Times New Roman" w:hAnsi="Times New Roman" w:cs="Times New Roman"/>
          <w:sz w:val="26"/>
          <w:szCs w:val="26"/>
        </w:rPr>
        <w:t>th</w:t>
      </w:r>
      <w:r w:rsidRPr="00F14DB5">
        <w:rPr>
          <w:rFonts w:ascii="Times New Roman" w:hAnsi="Times New Roman" w:cs="Times New Roman"/>
          <w:sz w:val="26"/>
          <w:szCs w:val="26"/>
        </w:rPr>
        <w:t xml:space="preserve"> Cir. 1984) (affirming finding of likely confusion based on actual confusion among customers)</w:t>
      </w:r>
      <w:r w:rsidR="00B56238" w:rsidRPr="00F14DB5">
        <w:rPr>
          <w:rFonts w:ascii="Times New Roman" w:hAnsi="Times New Roman" w:cs="Times New Roman"/>
          <w:sz w:val="26"/>
          <w:szCs w:val="26"/>
        </w:rPr>
        <w:t>,</w:t>
      </w:r>
      <w:r w:rsidRPr="00F14DB5">
        <w:rPr>
          <w:rFonts w:ascii="Times New Roman" w:hAnsi="Times New Roman" w:cs="Times New Roman"/>
          <w:sz w:val="26"/>
          <w:szCs w:val="26"/>
        </w:rPr>
        <w:t xml:space="preserve"> </w:t>
      </w:r>
      <w:r w:rsidRPr="00F14DB5">
        <w:rPr>
          <w:rFonts w:ascii="Times New Roman" w:hAnsi="Times New Roman" w:cs="Times New Roman"/>
          <w:i/>
          <w:sz w:val="26"/>
          <w:szCs w:val="26"/>
        </w:rPr>
        <w:t xml:space="preserve">with </w:t>
      </w:r>
      <w:r w:rsidRPr="00F14DB5">
        <w:rPr>
          <w:rFonts w:ascii="Times New Roman" w:eastAsia="Times New Roman" w:hAnsi="Times New Roman" w:cs="Times New Roman"/>
          <w:i/>
          <w:sz w:val="26"/>
          <w:szCs w:val="26"/>
        </w:rPr>
        <w:t xml:space="preserve">Am. Television &amp; Commc’ns Corp. v. Am. Commc’ns </w:t>
      </w:r>
      <w:r w:rsidR="00C26F27" w:rsidRPr="00F14DB5">
        <w:rPr>
          <w:rFonts w:ascii="Times New Roman" w:eastAsia="Times New Roman" w:hAnsi="Times New Roman" w:cs="Times New Roman"/>
          <w:i/>
          <w:sz w:val="26"/>
          <w:szCs w:val="26"/>
        </w:rPr>
        <w:t>&amp;</w:t>
      </w:r>
      <w:r w:rsidRPr="00F14DB5">
        <w:rPr>
          <w:rFonts w:ascii="Times New Roman" w:eastAsia="Times New Roman" w:hAnsi="Times New Roman" w:cs="Times New Roman"/>
          <w:i/>
          <w:sz w:val="26"/>
          <w:szCs w:val="26"/>
        </w:rPr>
        <w:t xml:space="preserve"> Television, Inc.</w:t>
      </w:r>
      <w:r w:rsidRPr="00F14DB5">
        <w:rPr>
          <w:rFonts w:ascii="Times New Roman" w:eastAsia="Times New Roman" w:hAnsi="Times New Roman" w:cs="Times New Roman"/>
          <w:sz w:val="26"/>
          <w:szCs w:val="26"/>
        </w:rPr>
        <w:t>, 810 F.2d 1546, 1550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1987) (according testimony of confusion among nonconsumers little weight)</w:t>
      </w:r>
      <w:r w:rsidR="00B56238"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w:t>
      </w:r>
      <w:r w:rsidRPr="005153CF">
        <w:rPr>
          <w:rFonts w:ascii="Times New Roman" w:eastAsia="Times New Roman" w:hAnsi="Times New Roman" w:cs="Times New Roman"/>
          <w:i/>
          <w:sz w:val="26"/>
          <w:szCs w:val="26"/>
        </w:rPr>
        <w:t>and</w:t>
      </w:r>
      <w:r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i/>
          <w:sz w:val="26"/>
          <w:szCs w:val="26"/>
        </w:rPr>
        <w:t>Freedom Sav. &amp; Loan Ass’n v. Way</w:t>
      </w:r>
      <w:r w:rsidRPr="00F14DB5">
        <w:rPr>
          <w:rFonts w:ascii="Times New Roman" w:eastAsia="Times New Roman" w:hAnsi="Times New Roman" w:cs="Times New Roman"/>
          <w:sz w:val="26"/>
          <w:szCs w:val="26"/>
        </w:rPr>
        <w:t>, 757 F.2d 1176, 1185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1985) (same).</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The Defendant’s Intent</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Representative circuit case law applying this factor includes </w:t>
      </w:r>
      <w:r w:rsidRPr="00F14DB5">
        <w:rPr>
          <w:rFonts w:ascii="Times New Roman" w:eastAsia="Times New Roman" w:hAnsi="Times New Roman" w:cs="Times New Roman"/>
          <w:i/>
          <w:sz w:val="26"/>
          <w:szCs w:val="26"/>
        </w:rPr>
        <w:t>Bauer Lamp</w:t>
      </w:r>
      <w:r w:rsidR="00C26F27" w:rsidRPr="00F14DB5">
        <w:rPr>
          <w:rFonts w:ascii="Times New Roman" w:eastAsia="Times New Roman" w:hAnsi="Times New Roman" w:cs="Times New Roman"/>
          <w:i/>
          <w:sz w:val="26"/>
          <w:szCs w:val="26"/>
        </w:rPr>
        <w:t xml:space="preserve"> </w:t>
      </w:r>
      <w:r w:rsidRPr="00F14DB5">
        <w:rPr>
          <w:rFonts w:ascii="Times New Roman" w:eastAsia="Times New Roman" w:hAnsi="Times New Roman" w:cs="Times New Roman"/>
          <w:i/>
          <w:sz w:val="26"/>
          <w:szCs w:val="26"/>
        </w:rPr>
        <w:t xml:space="preserve">v. </w:t>
      </w:r>
      <w:r w:rsidRPr="00F14DB5">
        <w:rPr>
          <w:rFonts w:ascii="Times New Roman" w:eastAsia="Times New Roman" w:hAnsi="Times New Roman" w:cs="Times New Roman"/>
          <w:i/>
          <w:sz w:val="26"/>
          <w:szCs w:val="26"/>
        </w:rPr>
        <w:lastRenderedPageBreak/>
        <w:t>Shaffer</w:t>
      </w:r>
      <w:r w:rsidRPr="00F14DB5">
        <w:rPr>
          <w:rFonts w:ascii="Times New Roman" w:eastAsia="Times New Roman" w:hAnsi="Times New Roman" w:cs="Times New Roman"/>
          <w:sz w:val="26"/>
          <w:szCs w:val="26"/>
        </w:rPr>
        <w:t>, 941 F.2d 1165, 1172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1991) (per curiam), </w:t>
      </w:r>
      <w:r w:rsidRPr="00F14DB5">
        <w:rPr>
          <w:rFonts w:ascii="Times New Roman" w:eastAsia="Times New Roman" w:hAnsi="Times New Roman" w:cs="Times New Roman"/>
          <w:i/>
          <w:sz w:val="26"/>
          <w:szCs w:val="26"/>
        </w:rPr>
        <w:t>Safeway Stores, Inc. v. Safeway Discount Drugs, Inc.</w:t>
      </w:r>
      <w:r w:rsidRPr="00F14DB5">
        <w:rPr>
          <w:rFonts w:ascii="Times New Roman" w:eastAsia="Times New Roman" w:hAnsi="Times New Roman" w:cs="Times New Roman"/>
          <w:sz w:val="26"/>
          <w:szCs w:val="26"/>
        </w:rPr>
        <w:t>, 675 F.2d 1160, 1164 n.4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1982), </w:t>
      </w:r>
      <w:r w:rsidRPr="00F14DB5">
        <w:rPr>
          <w:rFonts w:ascii="Times New Roman" w:hAnsi="Times New Roman" w:cs="Times New Roman"/>
          <w:i/>
          <w:iCs/>
          <w:color w:val="1E1E1E"/>
          <w:sz w:val="26"/>
          <w:szCs w:val="26"/>
        </w:rPr>
        <w:t>Sun Banks</w:t>
      </w:r>
      <w:r w:rsidR="00C26F27" w:rsidRPr="00F14DB5">
        <w:rPr>
          <w:rFonts w:ascii="Times New Roman" w:hAnsi="Times New Roman" w:cs="Times New Roman"/>
          <w:i/>
          <w:iCs/>
          <w:color w:val="1E1E1E"/>
          <w:sz w:val="26"/>
          <w:szCs w:val="26"/>
        </w:rPr>
        <w:t xml:space="preserve"> </w:t>
      </w:r>
      <w:r w:rsidRPr="00F14DB5">
        <w:rPr>
          <w:rFonts w:ascii="Times New Roman" w:hAnsi="Times New Roman" w:cs="Times New Roman"/>
          <w:i/>
          <w:iCs/>
          <w:color w:val="1E1E1E"/>
          <w:sz w:val="26"/>
          <w:szCs w:val="26"/>
        </w:rPr>
        <w:t xml:space="preserve">v. </w:t>
      </w:r>
      <w:r w:rsidRPr="00F14DB5">
        <w:rPr>
          <w:rFonts w:ascii="Times New Roman" w:eastAsia="Times New Roman" w:hAnsi="Times New Roman" w:cs="Times New Roman"/>
          <w:i/>
          <w:sz w:val="26"/>
          <w:szCs w:val="26"/>
        </w:rPr>
        <w:t>Sun Fed</w:t>
      </w:r>
      <w:r w:rsidR="00C26F27" w:rsidRPr="00F14DB5">
        <w:rPr>
          <w:rFonts w:ascii="Times New Roman" w:eastAsia="Times New Roman" w:hAnsi="Times New Roman" w:cs="Times New Roman"/>
          <w:i/>
          <w:sz w:val="26"/>
          <w:szCs w:val="26"/>
        </w:rPr>
        <w:t xml:space="preserve">. </w:t>
      </w:r>
      <w:r w:rsidRPr="00F14DB5">
        <w:rPr>
          <w:rFonts w:ascii="Times New Roman" w:eastAsia="Times New Roman" w:hAnsi="Times New Roman" w:cs="Times New Roman"/>
          <w:i/>
          <w:sz w:val="26"/>
          <w:szCs w:val="26"/>
        </w:rPr>
        <w:t>Sav. &amp; Loan Ass’n</w:t>
      </w:r>
      <w:r w:rsidRPr="00F14DB5">
        <w:rPr>
          <w:rFonts w:ascii="Times New Roman" w:eastAsia="Times New Roman" w:hAnsi="Times New Roman" w:cs="Times New Roman"/>
          <w:sz w:val="26"/>
          <w:szCs w:val="26"/>
        </w:rPr>
        <w:t>,</w:t>
      </w:r>
      <w:r w:rsidRPr="00F14DB5">
        <w:rPr>
          <w:rFonts w:ascii="Times New Roman" w:hAnsi="Times New Roman" w:cs="Times New Roman"/>
          <w:color w:val="1E1E1E"/>
          <w:sz w:val="26"/>
          <w:szCs w:val="26"/>
        </w:rPr>
        <w:t xml:space="preserve"> 651 F.2d 311, 318-19 (5</w:t>
      </w:r>
      <w:r w:rsidR="00B56238" w:rsidRPr="00F14DB5">
        <w:rPr>
          <w:rFonts w:ascii="Times New Roman" w:hAnsi="Times New Roman" w:cs="Times New Roman"/>
          <w:color w:val="1E1E1E"/>
          <w:sz w:val="26"/>
          <w:szCs w:val="26"/>
        </w:rPr>
        <w:t>th</w:t>
      </w:r>
      <w:r w:rsidRPr="00F14DB5">
        <w:rPr>
          <w:rFonts w:ascii="Times New Roman" w:hAnsi="Times New Roman" w:cs="Times New Roman"/>
          <w:color w:val="1E1E1E"/>
          <w:sz w:val="26"/>
          <w:szCs w:val="26"/>
        </w:rPr>
        <w:t xml:space="preserve"> Cir. 1981), and </w:t>
      </w:r>
      <w:r w:rsidRPr="00F14DB5">
        <w:rPr>
          <w:rFonts w:ascii="Times New Roman" w:hAnsi="Times New Roman" w:cs="Times New Roman"/>
          <w:i/>
          <w:color w:val="1E1E1E"/>
          <w:sz w:val="26"/>
          <w:szCs w:val="26"/>
        </w:rPr>
        <w:t>Aetna Cas. &amp; Surety Co. v. Aetna Auto Fin., Inc.</w:t>
      </w:r>
      <w:r w:rsidRPr="00F14DB5">
        <w:rPr>
          <w:rFonts w:ascii="Times New Roman" w:hAnsi="Times New Roman" w:cs="Times New Roman"/>
          <w:color w:val="1E1E1E"/>
          <w:sz w:val="26"/>
          <w:szCs w:val="26"/>
        </w:rPr>
        <w:t>, 123 F.2d 582, 584 (5</w:t>
      </w:r>
      <w:r w:rsidR="00B56238" w:rsidRPr="00F14DB5">
        <w:rPr>
          <w:rFonts w:ascii="Times New Roman" w:hAnsi="Times New Roman" w:cs="Times New Roman"/>
          <w:color w:val="1E1E1E"/>
          <w:sz w:val="26"/>
          <w:szCs w:val="26"/>
        </w:rPr>
        <w:t>th</w:t>
      </w:r>
      <w:r w:rsidRPr="00F14DB5">
        <w:rPr>
          <w:rFonts w:ascii="Times New Roman" w:hAnsi="Times New Roman" w:cs="Times New Roman"/>
          <w:color w:val="1E1E1E"/>
          <w:sz w:val="26"/>
          <w:szCs w:val="26"/>
        </w:rPr>
        <w:t xml:space="preserve"> Cir. 1941).</w:t>
      </w:r>
    </w:p>
    <w:p w:rsidR="00E35EED" w:rsidRPr="00F14DB5" w:rsidRDefault="00E35EED" w:rsidP="001958B4">
      <w:pPr>
        <w:spacing w:after="240" w:line="240" w:lineRule="auto"/>
        <w:jc w:val="both"/>
        <w:rPr>
          <w:rFonts w:ascii="Times New Roman" w:eastAsia="Times New Roman" w:hAnsi="Times New Roman" w:cs="Times New Roman"/>
          <w:b/>
          <w:spacing w:val="-6"/>
          <w:sz w:val="26"/>
          <w:szCs w:val="26"/>
        </w:rPr>
      </w:pPr>
      <w:r w:rsidRPr="00F14DB5">
        <w:rPr>
          <w:rFonts w:ascii="Times New Roman" w:eastAsia="Times New Roman" w:hAnsi="Times New Roman" w:cs="Times New Roman"/>
          <w:b/>
          <w:spacing w:val="-6"/>
          <w:sz w:val="26"/>
          <w:szCs w:val="26"/>
        </w:rPr>
        <w:t>Likelihood of Confusion: Resale of new genuine goods bearing the Plaintiff’s trademark</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Under ordinary circumstances, the infringement cause of action is unavailable to trademark owners that already have sold their goods and are seeking to prevent subsequent sales by downstream purchasers. Specifically, the “genuine” nature of the goods will preclude confusion as to their source. </w:t>
      </w:r>
      <w:r w:rsidRPr="00F14DB5">
        <w:rPr>
          <w:rFonts w:ascii="Times New Roman" w:eastAsia="Times New Roman" w:hAnsi="Times New Roman" w:cs="Times New Roman"/>
          <w:i/>
          <w:sz w:val="26"/>
          <w:szCs w:val="26"/>
        </w:rPr>
        <w:t>See generally Davidoff &amp; CIE, S.A. v. PLD Int’l Corp.</w:t>
      </w:r>
      <w:r w:rsidRPr="00F14DB5">
        <w:rPr>
          <w:rFonts w:ascii="Times New Roman" w:eastAsia="Times New Roman" w:hAnsi="Times New Roman" w:cs="Times New Roman"/>
          <w:sz w:val="26"/>
          <w:szCs w:val="26"/>
        </w:rPr>
        <w:t>, 263 F.3d 1297, 1301 (11</w:t>
      </w:r>
      <w:r w:rsidR="00B56238"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2001) (“The resale of genuine trademarked goods generally does not constitute infringement… Therefore, even though a subsequent sale is without a trademark owner’s consent, the resale of a genuine good does not violate the [Lanham] Act.”). The protection afforded by the “first sale” doctrine does not apply, however, when the good or the packaging has been materially altered. </w:t>
      </w:r>
      <w:r w:rsidRPr="00F14DB5">
        <w:rPr>
          <w:rFonts w:ascii="Times New Roman" w:eastAsia="Times New Roman" w:hAnsi="Times New Roman" w:cs="Times New Roman"/>
          <w:i/>
          <w:sz w:val="26"/>
          <w:szCs w:val="26"/>
        </w:rPr>
        <w:t>See id</w:t>
      </w:r>
      <w:r w:rsidRPr="00F14DB5">
        <w:rPr>
          <w:rFonts w:ascii="Times New Roman" w:eastAsia="Times New Roman" w:hAnsi="Times New Roman" w:cs="Times New Roman"/>
          <w:sz w:val="26"/>
          <w:szCs w:val="26"/>
        </w:rPr>
        <w:t>. at 1301 (“This [first sale] doctrine does not hold true when an alleged infringer sells trademarked goods that are materially different than those sold by the trademark owner.”). When an infringement claim is grounded in the resale of goods bearing a plaintiff’s trademark that are genuine but that are materially different from their authorized counterparts, the inquiry should focus on whether material differences exist and not the seven-factor test set forth above.</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Likelihood of Confusion: Resale of used or reconditioned goods bearing the Plaintiff’s mark</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The sale of used or reconditioned goods bearing a plaintiff’s trademark without adequate disclosure of the goods’ status can constitute actionable infringement. </w:t>
      </w:r>
      <w:r w:rsidRPr="00F14DB5">
        <w:rPr>
          <w:rFonts w:ascii="Times New Roman" w:eastAsia="Times New Roman" w:hAnsi="Times New Roman" w:cs="Times New Roman"/>
          <w:i/>
          <w:sz w:val="26"/>
          <w:szCs w:val="26"/>
        </w:rPr>
        <w:t>Champion Spark Plug Co</w:t>
      </w:r>
      <w:r w:rsidR="00E20914" w:rsidRPr="00F14DB5">
        <w:rPr>
          <w:rFonts w:ascii="Times New Roman" w:eastAsia="Times New Roman" w:hAnsi="Times New Roman" w:cs="Times New Roman"/>
          <w:i/>
          <w:sz w:val="26"/>
          <w:szCs w:val="26"/>
        </w:rPr>
        <w:t xml:space="preserve">. </w:t>
      </w:r>
      <w:r w:rsidRPr="00F14DB5">
        <w:rPr>
          <w:rFonts w:ascii="Times New Roman" w:eastAsia="Times New Roman" w:hAnsi="Times New Roman" w:cs="Times New Roman"/>
          <w:i/>
          <w:sz w:val="26"/>
          <w:szCs w:val="26"/>
        </w:rPr>
        <w:t>v. Sanders</w:t>
      </w:r>
      <w:r w:rsidRPr="00F14DB5">
        <w:rPr>
          <w:rFonts w:ascii="Times New Roman" w:eastAsia="Times New Roman" w:hAnsi="Times New Roman" w:cs="Times New Roman"/>
          <w:sz w:val="26"/>
          <w:szCs w:val="26"/>
        </w:rPr>
        <w:t xml:space="preserve">, 331 U.S. 125, 67 S. Ct. 1136, 91 L. Ed. 1386 (1947), is the seminal case on this theory of relief. In </w:t>
      </w:r>
      <w:r w:rsidRPr="00F14DB5">
        <w:rPr>
          <w:rFonts w:ascii="Times New Roman" w:eastAsia="Times New Roman" w:hAnsi="Times New Roman" w:cs="Times New Roman"/>
          <w:i/>
          <w:sz w:val="26"/>
          <w:szCs w:val="26"/>
        </w:rPr>
        <w:t>Champion</w:t>
      </w:r>
      <w:r w:rsidRPr="00F14DB5">
        <w:rPr>
          <w:rFonts w:ascii="Times New Roman" w:eastAsia="Times New Roman" w:hAnsi="Times New Roman" w:cs="Times New Roman"/>
          <w:sz w:val="26"/>
          <w:szCs w:val="26"/>
        </w:rPr>
        <w:t xml:space="preserve">, the Supreme Court held that used goods can be sold under the trademark owner’s trademark in a way that does not confuse the public. The public’s expectations for used goods are different than for new goods. </w:t>
      </w:r>
      <w:r w:rsidRPr="00F14DB5">
        <w:rPr>
          <w:rFonts w:ascii="Times New Roman" w:eastAsia="Times New Roman" w:hAnsi="Times New Roman" w:cs="Times New Roman"/>
          <w:i/>
          <w:sz w:val="26"/>
          <w:szCs w:val="26"/>
        </w:rPr>
        <w:t>See also Nitro Leisure Prods., L</w:t>
      </w:r>
      <w:r w:rsidR="00E20914" w:rsidRPr="00F14DB5">
        <w:rPr>
          <w:rFonts w:ascii="Times New Roman" w:eastAsia="Times New Roman" w:hAnsi="Times New Roman" w:cs="Times New Roman"/>
          <w:i/>
          <w:sz w:val="26"/>
          <w:szCs w:val="26"/>
        </w:rPr>
        <w:t>.</w:t>
      </w:r>
      <w:r w:rsidRPr="00F14DB5">
        <w:rPr>
          <w:rFonts w:ascii="Times New Roman" w:eastAsia="Times New Roman" w:hAnsi="Times New Roman" w:cs="Times New Roman"/>
          <w:i/>
          <w:sz w:val="26"/>
          <w:szCs w:val="26"/>
        </w:rPr>
        <w:t>L</w:t>
      </w:r>
      <w:r w:rsidR="00E20914" w:rsidRPr="00F14DB5">
        <w:rPr>
          <w:rFonts w:ascii="Times New Roman" w:eastAsia="Times New Roman" w:hAnsi="Times New Roman" w:cs="Times New Roman"/>
          <w:i/>
          <w:sz w:val="26"/>
          <w:szCs w:val="26"/>
        </w:rPr>
        <w:t>.</w:t>
      </w:r>
      <w:r w:rsidRPr="00F14DB5">
        <w:rPr>
          <w:rFonts w:ascii="Times New Roman" w:eastAsia="Times New Roman" w:hAnsi="Times New Roman" w:cs="Times New Roman"/>
          <w:i/>
          <w:sz w:val="26"/>
          <w:szCs w:val="26"/>
        </w:rPr>
        <w:t>C</w:t>
      </w:r>
      <w:r w:rsidR="00E20914" w:rsidRPr="00F14DB5">
        <w:rPr>
          <w:rFonts w:ascii="Times New Roman" w:eastAsia="Times New Roman" w:hAnsi="Times New Roman" w:cs="Times New Roman"/>
          <w:i/>
          <w:sz w:val="26"/>
          <w:szCs w:val="26"/>
        </w:rPr>
        <w:t>.</w:t>
      </w:r>
      <w:r w:rsidRPr="00F14DB5">
        <w:rPr>
          <w:rFonts w:ascii="Times New Roman" w:eastAsia="Times New Roman" w:hAnsi="Times New Roman" w:cs="Times New Roman"/>
          <w:i/>
          <w:sz w:val="26"/>
          <w:szCs w:val="26"/>
        </w:rPr>
        <w:t xml:space="preserve"> v. Acushnet Co.</w:t>
      </w:r>
      <w:r w:rsidRPr="00F14DB5">
        <w:rPr>
          <w:rFonts w:ascii="Times New Roman" w:eastAsia="Times New Roman" w:hAnsi="Times New Roman" w:cs="Times New Roman"/>
          <w:sz w:val="26"/>
          <w:szCs w:val="26"/>
        </w:rPr>
        <w:t>, 341 F.3d 1356, 1359-60, 1367 (Fed. Cir. 2003) (applying Eleventh Circuit law to hold that the “material differences” test for the resale of new goods has not replaced the statutory “likelihood of confusion” test in the resale of used or reconditioned trademarked goods). When an infringement claim is grounded in the resale of used or refurbished genuine goods bearing a plaintiff’s trademark, the inquiry should focus on whether material differences exist and not the seven-factor test set forth above.</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Contributory Infringement</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The test for liability for infringement set forth above is one for direct infringement. Liability for contributory trademark infringement is governed by the standard set forth in </w:t>
      </w:r>
      <w:r w:rsidRPr="00F14DB5">
        <w:rPr>
          <w:rFonts w:ascii="Times New Roman" w:eastAsia="Times New Roman" w:hAnsi="Times New Roman" w:cs="Times New Roman"/>
          <w:i/>
          <w:sz w:val="26"/>
          <w:szCs w:val="26"/>
        </w:rPr>
        <w:lastRenderedPageBreak/>
        <w:t>Inwood Labs. v. Ives Labs.</w:t>
      </w:r>
      <w:r w:rsidRPr="00F14DB5">
        <w:rPr>
          <w:rFonts w:ascii="Times New Roman" w:eastAsia="Times New Roman" w:hAnsi="Times New Roman" w:cs="Times New Roman"/>
          <w:sz w:val="26"/>
          <w:szCs w:val="26"/>
        </w:rPr>
        <w:t>, 456 U.S. 844, 853-54, 102 S. Ct. 2182, 2188, 72 L. Ed. 2d 606 (1982) (“Thus, if a manufacturer or distributor intentionally induces another to infringe a trademark, or if it continues to supply its product to one whom it knows or has reason to know is engaging in trademark infringement, the manufacturer is contributorily responsible for any harm done as a result of the deceit.”).</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Monetary Relief</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The statutory basis for monetary relief is Section 35 of the Lanham Act, 15 U.S.C. § 1117</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1 </w:instrText>
      </w:r>
      <w:r w:rsidRPr="005153CF">
        <w:rPr>
          <w:rFonts w:ascii="Times New Roman" w:eastAsia="Times New Roman" w:hAnsi="Times New Roman" w:cs="Times New Roman"/>
          <w:sz w:val="26"/>
          <w:szCs w:val="26"/>
        </w:rPr>
        <w:fldChar w:fldCharType="end">
          <w:numberingChange w:id="23" w:author="Author" w:original="(a)"/>
        </w:fldChar>
      </w:r>
      <w:r w:rsidRPr="00F14DB5">
        <w:rPr>
          <w:rFonts w:ascii="Times New Roman" w:eastAsia="Times New Roman" w:hAnsi="Times New Roman" w:cs="Times New Roman"/>
          <w:sz w:val="26"/>
          <w:szCs w:val="26"/>
        </w:rPr>
        <w:t>, which provides that:</w:t>
      </w:r>
    </w:p>
    <w:p w:rsidR="00E35EED" w:rsidRPr="00F14DB5" w:rsidRDefault="00E35EED" w:rsidP="001958B4">
      <w:pPr>
        <w:spacing w:after="240" w:line="240" w:lineRule="auto"/>
        <w:ind w:left="720" w:right="720"/>
        <w:jc w:val="both"/>
        <w:rPr>
          <w:rFonts w:ascii="Times New Roman" w:eastAsia="Times New Roman" w:hAnsi="Times New Roman" w:cs="Times New Roman"/>
          <w:i/>
          <w:sz w:val="26"/>
          <w:szCs w:val="26"/>
        </w:rPr>
      </w:pPr>
      <w:r w:rsidRPr="00F14DB5">
        <w:rPr>
          <w:rFonts w:ascii="Times New Roman" w:eastAsia="Times New Roman" w:hAnsi="Times New Roman" w:cs="Times New Roman"/>
          <w:sz w:val="26"/>
          <w:szCs w:val="26"/>
        </w:rPr>
        <w:t>When a violation of any right of the registrant of a mark registered in the Patent and Trademark Office,… shall have been established in any civil action arising under this Act, the plaintiff shall be entitled, subject to the provisions of [15 U.S.C. §§ 1111, 1114], and subject to the principles of equity, to recover</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4 \s 1 </w:instrText>
      </w:r>
      <w:r w:rsidRPr="005153CF">
        <w:rPr>
          <w:rFonts w:ascii="Times New Roman" w:eastAsia="Times New Roman" w:hAnsi="Times New Roman" w:cs="Times New Roman"/>
          <w:sz w:val="26"/>
          <w:szCs w:val="26"/>
        </w:rPr>
        <w:fldChar w:fldCharType="end">
          <w:numberingChange w:id="24" w:author="Author" w:original="(1)"/>
        </w:fldChar>
      </w:r>
      <w:r w:rsidRPr="00F14DB5">
        <w:rPr>
          <w:rFonts w:ascii="Times New Roman" w:eastAsia="Times New Roman" w:hAnsi="Times New Roman" w:cs="Times New Roman"/>
          <w:sz w:val="26"/>
          <w:szCs w:val="26"/>
        </w:rPr>
        <w:t xml:space="preserve"> defendant’s profits, </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4 \s 2 </w:instrText>
      </w:r>
      <w:r w:rsidRPr="005153CF">
        <w:rPr>
          <w:rFonts w:ascii="Times New Roman" w:eastAsia="Times New Roman" w:hAnsi="Times New Roman" w:cs="Times New Roman"/>
          <w:sz w:val="26"/>
          <w:szCs w:val="26"/>
        </w:rPr>
        <w:fldChar w:fldCharType="end">
          <w:numberingChange w:id="25" w:author="Author" w:original="(2)"/>
        </w:fldChar>
      </w:r>
      <w:r w:rsidRPr="00F14DB5">
        <w:rPr>
          <w:rFonts w:ascii="Times New Roman" w:eastAsia="Times New Roman" w:hAnsi="Times New Roman" w:cs="Times New Roman"/>
          <w:sz w:val="26"/>
          <w:szCs w:val="26"/>
        </w:rPr>
        <w:t xml:space="preserve"> any damages sustained by the plaintiff, and </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4 \s 3 </w:instrText>
      </w:r>
      <w:r w:rsidRPr="005153CF">
        <w:rPr>
          <w:rFonts w:ascii="Times New Roman" w:eastAsia="Times New Roman" w:hAnsi="Times New Roman" w:cs="Times New Roman"/>
          <w:sz w:val="26"/>
          <w:szCs w:val="26"/>
        </w:rPr>
        <w:fldChar w:fldCharType="end">
          <w:numberingChange w:id="26" w:author="Author" w:original="(3)"/>
        </w:fldChar>
      </w:r>
      <w:r w:rsidRPr="00F14DB5">
        <w:rPr>
          <w:rFonts w:ascii="Times New Roman" w:eastAsia="Times New Roman" w:hAnsi="Times New Roman" w:cs="Times New Roman"/>
          <w:sz w:val="26"/>
          <w:szCs w:val="26"/>
        </w:rPr>
        <w:t xml:space="preserve"> the costs of the action. The court shall assess such profits and damages or cause the same to be assessed under its direction. In assessing profits the plaintiff shall be required to prove defendant’s sales only; defendant must prove all elements of cost or deduction claimed. In assessing damages the court may enter judgment, according to the circumstances of the case, for any sum above the amount found as actual damages, not exceeding three times such amount. If the court shall find that the amount of the recovery based on profits is either inadequate or excessive the court may in its discretion enter judgment for such sum as the court shall find to be just, according to the circumstances of the case. Such sum in either of the above circumstances shall constitute compensation and not a penalty.</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Award of the Plaintiff’s Actual Damages</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To be entitled to the legal remedy of an award of actual damages, the </w:t>
      </w:r>
      <w:r w:rsidR="00C671C9" w:rsidRPr="00F14DB5">
        <w:rPr>
          <w:rFonts w:ascii="Times New Roman" w:eastAsia="Times New Roman" w:hAnsi="Times New Roman" w:cs="Times New Roman"/>
          <w:sz w:val="26"/>
          <w:szCs w:val="26"/>
        </w:rPr>
        <w:t>p</w:t>
      </w:r>
      <w:r w:rsidRPr="00F14DB5">
        <w:rPr>
          <w:rFonts w:ascii="Times New Roman" w:eastAsia="Times New Roman" w:hAnsi="Times New Roman" w:cs="Times New Roman"/>
          <w:sz w:val="26"/>
          <w:szCs w:val="26"/>
        </w:rPr>
        <w:t xml:space="preserve">laintiff must demonstrate that it suffered actual monetary losses. </w:t>
      </w:r>
      <w:r w:rsidRPr="00F14DB5">
        <w:rPr>
          <w:rFonts w:ascii="Times New Roman" w:eastAsia="Times New Roman" w:hAnsi="Times New Roman" w:cs="Times New Roman"/>
          <w:i/>
          <w:sz w:val="26"/>
          <w:szCs w:val="26"/>
        </w:rPr>
        <w:t>Babbit Elecs., Inc. v. DynaScan Corp.</w:t>
      </w:r>
      <w:r w:rsidRPr="00F14DB5">
        <w:rPr>
          <w:rFonts w:ascii="Times New Roman" w:eastAsia="Times New Roman" w:hAnsi="Times New Roman" w:cs="Times New Roman"/>
          <w:sz w:val="26"/>
          <w:szCs w:val="26"/>
        </w:rPr>
        <w:t>, 38 F.3d 1161, 1182 (11</w:t>
      </w:r>
      <w:r w:rsidR="00C671C9"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1994). (“[T]he Plaintiff must prove both lost sales and that the loss was caused by the Defendant’s actions.”). Actual damages are not “speculative” if they are supported by a preponderance of the evidence. </w:t>
      </w:r>
      <w:r w:rsidRPr="00F14DB5">
        <w:rPr>
          <w:rFonts w:ascii="Times New Roman" w:eastAsia="Times New Roman" w:hAnsi="Times New Roman" w:cs="Times New Roman"/>
          <w:i/>
          <w:sz w:val="26"/>
          <w:szCs w:val="26"/>
        </w:rPr>
        <w:t>See, e.g.</w:t>
      </w:r>
      <w:r w:rsidRPr="005153CF">
        <w:rPr>
          <w:rFonts w:ascii="Times New Roman" w:eastAsia="Times New Roman" w:hAnsi="Times New Roman" w:cs="Times New Roman"/>
          <w:sz w:val="26"/>
          <w:szCs w:val="26"/>
        </w:rPr>
        <w:t>,</w:t>
      </w:r>
      <w:r w:rsidRPr="00F14DB5">
        <w:rPr>
          <w:rFonts w:ascii="Times New Roman" w:eastAsia="Times New Roman" w:hAnsi="Times New Roman" w:cs="Times New Roman"/>
          <w:i/>
          <w:sz w:val="26"/>
          <w:szCs w:val="26"/>
        </w:rPr>
        <w:t xml:space="preserve"> Ramada Inns, Inc. v. Gadsden Motel Co.</w:t>
      </w:r>
      <w:r w:rsidRPr="00F14DB5">
        <w:rPr>
          <w:rFonts w:ascii="Times New Roman" w:eastAsia="Times New Roman" w:hAnsi="Times New Roman" w:cs="Times New Roman"/>
          <w:sz w:val="26"/>
          <w:szCs w:val="26"/>
        </w:rPr>
        <w:t>, 804 F.2d 1562, 1565 (11</w:t>
      </w:r>
      <w:r w:rsidR="00C671C9"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1986) (affirming award of actual damages supported by unrebutted expert testimony).</w:t>
      </w:r>
    </w:p>
    <w:p w:rsidR="00E35EED" w:rsidRPr="00F14DB5" w:rsidRDefault="00E35EED" w:rsidP="001958B4">
      <w:pPr>
        <w:spacing w:after="240" w:line="240" w:lineRule="auto"/>
        <w:ind w:firstLine="720"/>
        <w:jc w:val="both"/>
        <w:rPr>
          <w:rFonts w:ascii="Times New Roman" w:eastAsia="Times New Roman" w:hAnsi="Times New Roman" w:cs="Times New Roman"/>
          <w:i/>
          <w:sz w:val="26"/>
          <w:szCs w:val="26"/>
        </w:rPr>
      </w:pPr>
      <w:r w:rsidRPr="00F14DB5">
        <w:rPr>
          <w:rFonts w:ascii="Times New Roman" w:eastAsia="Times New Roman" w:hAnsi="Times New Roman" w:cs="Times New Roman"/>
          <w:sz w:val="26"/>
          <w:szCs w:val="26"/>
        </w:rPr>
        <w:t xml:space="preserve">It is “inappropriate” under Eleventh Circuit authority to award a trademark holder the “profit [it] would have made on sales to the defendant.” </w:t>
      </w:r>
      <w:r w:rsidRPr="00F14DB5">
        <w:rPr>
          <w:rFonts w:ascii="Times New Roman" w:eastAsia="Times New Roman" w:hAnsi="Times New Roman" w:cs="Times New Roman"/>
          <w:i/>
          <w:sz w:val="26"/>
          <w:szCs w:val="26"/>
        </w:rPr>
        <w:t>St. Charles Mfg. Co. v. Mercer</w:t>
      </w:r>
      <w:r w:rsidRPr="00F14DB5">
        <w:rPr>
          <w:rFonts w:ascii="Times New Roman" w:eastAsia="Times New Roman" w:hAnsi="Times New Roman" w:cs="Times New Roman"/>
          <w:sz w:val="26"/>
          <w:szCs w:val="26"/>
        </w:rPr>
        <w:t>, 737 F.2d 891, 893 (11</w:t>
      </w:r>
      <w:r w:rsidR="00C671C9"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1983) (“While Plaintiffs in Lanham Act cases often receive profits from lost sales, these sales are sales made by Defendants to purchasers who sought to buy plaintiffs’ products and instead received defendants’.”)</w:t>
      </w:r>
      <w:r w:rsidR="00553E23"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sz w:val="26"/>
          <w:szCs w:val="26"/>
        </w:rPr>
        <w:t xml:space="preserve"> Nonetheless, </w:t>
      </w:r>
      <w:r w:rsidRPr="00F14DB5">
        <w:rPr>
          <w:rFonts w:ascii="Times New Roman" w:eastAsia="Times New Roman" w:hAnsi="Times New Roman" w:cs="Times New Roman"/>
          <w:sz w:val="26"/>
          <w:szCs w:val="26"/>
        </w:rPr>
        <w:lastRenderedPageBreak/>
        <w:t xml:space="preserve">franchise fees and lost royalties during the infringement period are recoverable. </w:t>
      </w:r>
      <w:r w:rsidRPr="00F14DB5">
        <w:rPr>
          <w:rFonts w:ascii="Times New Roman" w:eastAsia="Times New Roman" w:hAnsi="Times New Roman" w:cs="Times New Roman"/>
          <w:i/>
          <w:sz w:val="26"/>
          <w:szCs w:val="26"/>
        </w:rPr>
        <w:t>See Ramada Inns</w:t>
      </w:r>
      <w:r w:rsidRPr="00F14DB5">
        <w:rPr>
          <w:rFonts w:ascii="Times New Roman" w:eastAsia="Times New Roman" w:hAnsi="Times New Roman" w:cs="Times New Roman"/>
          <w:sz w:val="26"/>
          <w:szCs w:val="26"/>
        </w:rPr>
        <w:t xml:space="preserve">, 804 F.2d at 1565. An award of actual damages also may be based on findings that the </w:t>
      </w:r>
      <w:r w:rsidR="00C671C9" w:rsidRPr="00F14DB5">
        <w:rPr>
          <w:rFonts w:ascii="Times New Roman" w:eastAsia="Times New Roman" w:hAnsi="Times New Roman" w:cs="Times New Roman"/>
          <w:sz w:val="26"/>
          <w:szCs w:val="26"/>
        </w:rPr>
        <w:t>d</w:t>
      </w:r>
      <w:r w:rsidRPr="00F14DB5">
        <w:rPr>
          <w:rFonts w:ascii="Times New Roman" w:eastAsia="Times New Roman" w:hAnsi="Times New Roman" w:cs="Times New Roman"/>
          <w:sz w:val="26"/>
          <w:szCs w:val="26"/>
        </w:rPr>
        <w:t xml:space="preserve">efendant’s infringement has diverted sales from the </w:t>
      </w:r>
      <w:r w:rsidR="00C671C9" w:rsidRPr="00F14DB5">
        <w:rPr>
          <w:rFonts w:ascii="Times New Roman" w:eastAsia="Times New Roman" w:hAnsi="Times New Roman" w:cs="Times New Roman"/>
          <w:sz w:val="26"/>
          <w:szCs w:val="26"/>
        </w:rPr>
        <w:t>p</w:t>
      </w:r>
      <w:r w:rsidRPr="00F14DB5">
        <w:rPr>
          <w:rFonts w:ascii="Times New Roman" w:eastAsia="Times New Roman" w:hAnsi="Times New Roman" w:cs="Times New Roman"/>
          <w:sz w:val="26"/>
          <w:szCs w:val="26"/>
        </w:rPr>
        <w:t xml:space="preserve">laintiff or that the poor quality of the </w:t>
      </w:r>
      <w:r w:rsidR="00C671C9" w:rsidRPr="00F14DB5">
        <w:rPr>
          <w:rFonts w:ascii="Times New Roman" w:eastAsia="Times New Roman" w:hAnsi="Times New Roman" w:cs="Times New Roman"/>
          <w:sz w:val="26"/>
          <w:szCs w:val="26"/>
        </w:rPr>
        <w:t>d</w:t>
      </w:r>
      <w:r w:rsidRPr="00F14DB5">
        <w:rPr>
          <w:rFonts w:ascii="Times New Roman" w:eastAsia="Times New Roman" w:hAnsi="Times New Roman" w:cs="Times New Roman"/>
          <w:sz w:val="26"/>
          <w:szCs w:val="26"/>
        </w:rPr>
        <w:t xml:space="preserve">efendant’s goods has harmed the </w:t>
      </w:r>
      <w:r w:rsidR="00C671C9" w:rsidRPr="00F14DB5">
        <w:rPr>
          <w:rFonts w:ascii="Times New Roman" w:eastAsia="Times New Roman" w:hAnsi="Times New Roman" w:cs="Times New Roman"/>
          <w:sz w:val="26"/>
          <w:szCs w:val="26"/>
        </w:rPr>
        <w:t>p</w:t>
      </w:r>
      <w:r w:rsidRPr="00F14DB5">
        <w:rPr>
          <w:rFonts w:ascii="Times New Roman" w:eastAsia="Times New Roman" w:hAnsi="Times New Roman" w:cs="Times New Roman"/>
          <w:sz w:val="26"/>
          <w:szCs w:val="26"/>
        </w:rPr>
        <w:t xml:space="preserve">laintiff’s business reputation. </w:t>
      </w:r>
      <w:r w:rsidRPr="00F14DB5">
        <w:rPr>
          <w:rFonts w:ascii="Times New Roman" w:eastAsia="Times New Roman" w:hAnsi="Times New Roman" w:cs="Times New Roman"/>
          <w:i/>
          <w:sz w:val="26"/>
          <w:szCs w:val="26"/>
        </w:rPr>
        <w:t xml:space="preserve">See </w:t>
      </w:r>
      <w:r w:rsidRPr="00F14DB5">
        <w:rPr>
          <w:rFonts w:ascii="Times New Roman" w:hAnsi="Times New Roman" w:cs="Times New Roman"/>
          <w:i/>
          <w:sz w:val="26"/>
          <w:szCs w:val="26"/>
          <w:lang w:val="en"/>
        </w:rPr>
        <w:t>Boston Prof’l Hockey Ass’n</w:t>
      </w:r>
      <w:r w:rsidR="00E20914" w:rsidRPr="00F14DB5">
        <w:rPr>
          <w:rFonts w:ascii="Times New Roman" w:hAnsi="Times New Roman" w:cs="Times New Roman"/>
          <w:i/>
          <w:sz w:val="26"/>
          <w:szCs w:val="26"/>
          <w:lang w:val="en"/>
        </w:rPr>
        <w:t xml:space="preserve"> </w:t>
      </w:r>
      <w:r w:rsidRPr="00F14DB5">
        <w:rPr>
          <w:rFonts w:ascii="Times New Roman" w:hAnsi="Times New Roman" w:cs="Times New Roman"/>
          <w:i/>
          <w:sz w:val="26"/>
          <w:szCs w:val="26"/>
          <w:lang w:val="en"/>
        </w:rPr>
        <w:t xml:space="preserve"> v. Dallas Cap Mfg.,</w:t>
      </w:r>
      <w:r w:rsidRPr="00F14DB5">
        <w:rPr>
          <w:rFonts w:ascii="Times New Roman" w:hAnsi="Times New Roman" w:cs="Times New Roman"/>
          <w:sz w:val="26"/>
          <w:szCs w:val="26"/>
          <w:lang w:val="en"/>
        </w:rPr>
        <w:t xml:space="preserve"> 597 F.2d 71, 75 (5</w:t>
      </w:r>
      <w:r w:rsidR="00C671C9" w:rsidRPr="00F14DB5">
        <w:rPr>
          <w:rFonts w:ascii="Times New Roman" w:hAnsi="Times New Roman" w:cs="Times New Roman"/>
          <w:sz w:val="26"/>
          <w:szCs w:val="26"/>
          <w:lang w:val="en"/>
        </w:rPr>
        <w:t>th</w:t>
      </w:r>
      <w:r w:rsidRPr="00F14DB5">
        <w:rPr>
          <w:rFonts w:ascii="Times New Roman" w:hAnsi="Times New Roman" w:cs="Times New Roman"/>
          <w:sz w:val="26"/>
          <w:szCs w:val="26"/>
          <w:lang w:val="en"/>
        </w:rPr>
        <w:t xml:space="preserve"> Cir. 1979).</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The Eleventh Circuit will not allow liquidated damages in addition to actual damages if it represents a “double recovery.” </w:t>
      </w:r>
      <w:r w:rsidRPr="00F14DB5">
        <w:rPr>
          <w:rFonts w:ascii="Times New Roman" w:eastAsia="Times New Roman" w:hAnsi="Times New Roman" w:cs="Times New Roman"/>
          <w:i/>
          <w:sz w:val="26"/>
          <w:szCs w:val="26"/>
        </w:rPr>
        <w:t>Ramada Inns</w:t>
      </w:r>
      <w:r w:rsidRPr="00F14DB5">
        <w:rPr>
          <w:rFonts w:ascii="Times New Roman" w:eastAsia="Times New Roman" w:hAnsi="Times New Roman" w:cs="Times New Roman"/>
          <w:sz w:val="26"/>
          <w:szCs w:val="26"/>
        </w:rPr>
        <w:t xml:space="preserve">, 804 F.2d at 1566. Under appropriate circumstances, however, the Eleventh Circuit will allow for both trademark and liquidated damages in the same case. </w:t>
      </w:r>
      <w:r w:rsidRPr="00F14DB5">
        <w:rPr>
          <w:rFonts w:ascii="Times New Roman" w:eastAsia="Times New Roman" w:hAnsi="Times New Roman" w:cs="Times New Roman"/>
          <w:i/>
          <w:sz w:val="26"/>
          <w:szCs w:val="26"/>
        </w:rPr>
        <w:t>Id</w:t>
      </w:r>
      <w:r w:rsidRPr="00F14DB5">
        <w:rPr>
          <w:rFonts w:ascii="Times New Roman" w:eastAsia="Times New Roman" w:hAnsi="Times New Roman" w:cs="Times New Roman"/>
          <w:sz w:val="26"/>
          <w:szCs w:val="26"/>
        </w:rPr>
        <w:t>. at 1566 (liquidated damages and actual damages upheld even though they were “calculated in almost the same manner” because each damage calculation was meant to “compensate for separate wrongs”)</w:t>
      </w:r>
      <w:r w:rsidR="00553E23"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w:t>
      </w:r>
      <w:r w:rsidR="00553E23" w:rsidRPr="00F14DB5">
        <w:rPr>
          <w:rFonts w:ascii="Times New Roman" w:eastAsia="Times New Roman" w:hAnsi="Times New Roman" w:cs="Times New Roman"/>
          <w:sz w:val="26"/>
          <w:szCs w:val="26"/>
        </w:rPr>
        <w:t xml:space="preserve"> </w:t>
      </w:r>
      <w:r w:rsidRPr="00F14DB5">
        <w:rPr>
          <w:rFonts w:ascii="Times New Roman" w:eastAsia="Times New Roman" w:hAnsi="Times New Roman" w:cs="Times New Roman"/>
          <w:sz w:val="26"/>
          <w:szCs w:val="26"/>
        </w:rPr>
        <w:t xml:space="preserve">Likewise, in a franchise “hold over” case, infringement damages as well as expenditures necessary to establish a new franchisee are recoverable. </w:t>
      </w:r>
      <w:r w:rsidRPr="00F14DB5">
        <w:rPr>
          <w:rFonts w:ascii="Times New Roman" w:eastAsia="Times New Roman" w:hAnsi="Times New Roman" w:cs="Times New Roman"/>
          <w:i/>
          <w:sz w:val="26"/>
          <w:szCs w:val="26"/>
        </w:rPr>
        <w:t>Id</w:t>
      </w:r>
      <w:r w:rsidRPr="00F14DB5">
        <w:rPr>
          <w:rFonts w:ascii="Times New Roman" w:eastAsia="Times New Roman" w:hAnsi="Times New Roman" w:cs="Times New Roman"/>
          <w:sz w:val="26"/>
          <w:szCs w:val="26"/>
        </w:rPr>
        <w:t>.</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Accounting of the Defendant’s Profits</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A split exists outside of the Eleventh Circuit on the issue of whether the equitable remedy of an accounting of a defendant’s profits is a matter properly delegated to a jury or, alternatively, whether it is within the province of the court. In </w:t>
      </w:r>
      <w:r w:rsidRPr="00F14DB5">
        <w:rPr>
          <w:rFonts w:ascii="Times New Roman" w:eastAsia="Times New Roman" w:hAnsi="Times New Roman" w:cs="Times New Roman"/>
          <w:i/>
          <w:sz w:val="26"/>
          <w:szCs w:val="26"/>
        </w:rPr>
        <w:t>Dairy Queen, Inc. v. Wood</w:t>
      </w:r>
      <w:r w:rsidRPr="00F14DB5">
        <w:rPr>
          <w:rFonts w:ascii="Times New Roman" w:eastAsia="Times New Roman" w:hAnsi="Times New Roman" w:cs="Times New Roman"/>
          <w:sz w:val="26"/>
          <w:szCs w:val="26"/>
        </w:rPr>
        <w:t xml:space="preserve">, 369 U.S. 469, 82 S. Ct. 894, 8 L. Ed. 2d 44 (1962), the Supreme Court held that a former franchisee from which a disgorgement of profits was sought was entitled to a jury trial. Based on this outcome, some courts have concluded that a plaintiff’s prayer for an accounting creates a right to a jury trial because “[t]his type of remedy is fundamentally compensatory and legal in nature.” </w:t>
      </w:r>
      <w:r w:rsidRPr="00F14DB5">
        <w:rPr>
          <w:rFonts w:ascii="Times New Roman" w:eastAsia="Times New Roman" w:hAnsi="Times New Roman" w:cs="Times New Roman"/>
          <w:i/>
          <w:sz w:val="26"/>
          <w:szCs w:val="26"/>
        </w:rPr>
        <w:t>Alcan Int’l Ltd. v. S.A. Day Mfg. Co.</w:t>
      </w:r>
      <w:r w:rsidRPr="00F14DB5">
        <w:rPr>
          <w:rFonts w:ascii="Times New Roman" w:eastAsia="Times New Roman" w:hAnsi="Times New Roman" w:cs="Times New Roman"/>
          <w:sz w:val="26"/>
          <w:szCs w:val="26"/>
        </w:rPr>
        <w:t xml:space="preserve">, 48 U.S.P.Q.2d 1151, 1154 (W.D.N.Y. 1998); </w:t>
      </w:r>
      <w:r w:rsidRPr="00F14DB5">
        <w:rPr>
          <w:rFonts w:ascii="Times New Roman" w:eastAsia="Times New Roman" w:hAnsi="Times New Roman" w:cs="Times New Roman"/>
          <w:i/>
          <w:sz w:val="26"/>
          <w:szCs w:val="26"/>
        </w:rPr>
        <w:t>see also Ideal World Mktg., Inc. v. Duracell, Inc.</w:t>
      </w:r>
      <w:r w:rsidRPr="00F14DB5">
        <w:rPr>
          <w:rFonts w:ascii="Times New Roman" w:eastAsia="Times New Roman" w:hAnsi="Times New Roman" w:cs="Times New Roman"/>
          <w:sz w:val="26"/>
          <w:szCs w:val="26"/>
        </w:rPr>
        <w:t xml:space="preserve">, 997 F. Supp. 334, 337-39 (E.D.N.Y. 1998); </w:t>
      </w:r>
      <w:r w:rsidRPr="00F14DB5">
        <w:rPr>
          <w:rFonts w:ascii="Times New Roman" w:eastAsia="Times New Roman" w:hAnsi="Times New Roman" w:cs="Times New Roman"/>
          <w:i/>
          <w:sz w:val="26"/>
          <w:szCs w:val="26"/>
        </w:rPr>
        <w:t>Oxford Indus. v. Hartmarx Corp.</w:t>
      </w:r>
      <w:r w:rsidRPr="00F14DB5">
        <w:rPr>
          <w:rFonts w:ascii="Times New Roman" w:eastAsia="Times New Roman" w:hAnsi="Times New Roman" w:cs="Times New Roman"/>
          <w:sz w:val="26"/>
          <w:szCs w:val="26"/>
        </w:rPr>
        <w:t xml:space="preserve">, 15 U.S.P.Q.2d 1648, 1653 (N.D. Ill. 1990). Others, however, have denied requests for jury trials on the ground that “the </w:t>
      </w:r>
      <w:r w:rsidRPr="00F14DB5">
        <w:rPr>
          <w:rFonts w:ascii="Times New Roman" w:eastAsia="Times New Roman" w:hAnsi="Times New Roman" w:cs="Times New Roman"/>
          <w:i/>
          <w:sz w:val="26"/>
          <w:szCs w:val="26"/>
        </w:rPr>
        <w:t>Dairy Queen</w:t>
      </w:r>
      <w:r w:rsidRPr="00F14DB5">
        <w:rPr>
          <w:rFonts w:ascii="Times New Roman" w:eastAsia="Times New Roman" w:hAnsi="Times New Roman" w:cs="Times New Roman"/>
          <w:sz w:val="26"/>
          <w:szCs w:val="26"/>
        </w:rPr>
        <w:t xml:space="preserve"> Court based its decision on the fact that the predominant claim was for breach of contract and not for equitable relief.” </w:t>
      </w:r>
      <w:r w:rsidRPr="00F14DB5">
        <w:rPr>
          <w:rFonts w:ascii="Times New Roman" w:eastAsia="Times New Roman" w:hAnsi="Times New Roman" w:cs="Times New Roman"/>
          <w:i/>
          <w:sz w:val="26"/>
          <w:szCs w:val="26"/>
        </w:rPr>
        <w:t>G.A. Modefine S.A. v. Burlington Coat Factory Warehouse Corp.</w:t>
      </w:r>
      <w:r w:rsidRPr="00F14DB5">
        <w:rPr>
          <w:rFonts w:ascii="Times New Roman" w:eastAsia="Times New Roman" w:hAnsi="Times New Roman" w:cs="Times New Roman"/>
          <w:sz w:val="26"/>
          <w:szCs w:val="26"/>
        </w:rPr>
        <w:t xml:space="preserve">, 888 F. Supp. 44, 46 (S.D.N.Y. 1995); </w:t>
      </w:r>
      <w:r w:rsidRPr="00F14DB5">
        <w:rPr>
          <w:rFonts w:ascii="Times New Roman" w:eastAsia="Times New Roman" w:hAnsi="Times New Roman" w:cs="Times New Roman"/>
          <w:i/>
          <w:sz w:val="26"/>
          <w:szCs w:val="26"/>
        </w:rPr>
        <w:t>see also Am. Cyanamid Co. v. Sterling Drug, Inc.</w:t>
      </w:r>
      <w:r w:rsidRPr="00F14DB5">
        <w:rPr>
          <w:rFonts w:ascii="Times New Roman" w:eastAsia="Times New Roman" w:hAnsi="Times New Roman" w:cs="Times New Roman"/>
          <w:sz w:val="26"/>
          <w:szCs w:val="26"/>
        </w:rPr>
        <w:t>, 649 F. Supp. 784, 789 (D.N.J. 1986). In the absence of controlling circuit authority, this instruction does not purport to resolve that issue; rather, it is intended to provide guidance to the extent that the accounting remedy is referred to a jury.</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In an accounting under 15 U.S.C. § 1117 (20</w:t>
      </w:r>
      <w:r w:rsidR="00F85C92" w:rsidRPr="00F14DB5">
        <w:rPr>
          <w:rFonts w:ascii="Times New Roman" w:eastAsia="Times New Roman" w:hAnsi="Times New Roman" w:cs="Times New Roman"/>
          <w:sz w:val="26"/>
          <w:szCs w:val="26"/>
        </w:rPr>
        <w:t>12</w:t>
      </w:r>
      <w:r w:rsidRPr="00F14DB5">
        <w:rPr>
          <w:rFonts w:ascii="Times New Roman" w:eastAsia="Times New Roman" w:hAnsi="Times New Roman" w:cs="Times New Roman"/>
          <w:sz w:val="26"/>
          <w:szCs w:val="26"/>
        </w:rPr>
        <w:t xml:space="preserve">), “[a] plaintiff need not demonstrate actual damage to obtain an accounting of the infringer’s profits under section 35 of the Lanham Act.” It is enough that the Plaintiff proves the infringer’s sales. The burden then shifts to the Defendant, which must prove its expenses and other deductions from gross sales.” </w:t>
      </w:r>
      <w:r w:rsidRPr="00F14DB5">
        <w:rPr>
          <w:rFonts w:ascii="Times New Roman" w:eastAsia="Times New Roman" w:hAnsi="Times New Roman" w:cs="Times New Roman"/>
          <w:i/>
          <w:sz w:val="26"/>
          <w:szCs w:val="26"/>
        </w:rPr>
        <w:t>Wesco Mfg.</w:t>
      </w:r>
      <w:r w:rsidR="00E20914" w:rsidRPr="00F14DB5">
        <w:rPr>
          <w:rFonts w:ascii="Times New Roman" w:eastAsia="Times New Roman" w:hAnsi="Times New Roman" w:cs="Times New Roman"/>
          <w:i/>
          <w:sz w:val="26"/>
          <w:szCs w:val="26"/>
        </w:rPr>
        <w:t>, Inc.</w:t>
      </w:r>
      <w:r w:rsidRPr="00F14DB5">
        <w:rPr>
          <w:rFonts w:ascii="Times New Roman" w:eastAsia="Times New Roman" w:hAnsi="Times New Roman" w:cs="Times New Roman"/>
          <w:i/>
          <w:sz w:val="26"/>
          <w:szCs w:val="26"/>
        </w:rPr>
        <w:t xml:space="preserve"> v. Tropical Attractions of Palm Beach, Inc.</w:t>
      </w:r>
      <w:r w:rsidRPr="00F14DB5">
        <w:rPr>
          <w:rFonts w:ascii="Times New Roman" w:eastAsia="Times New Roman" w:hAnsi="Times New Roman" w:cs="Times New Roman"/>
          <w:sz w:val="26"/>
          <w:szCs w:val="26"/>
        </w:rPr>
        <w:t>, 833 F.2d 1484, 1487-88 (11</w:t>
      </w:r>
      <w:r w:rsidR="00F85C92"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1987) (citations omitted).</w:t>
      </w:r>
    </w:p>
    <w:p w:rsidR="00E35EED"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 xml:space="preserve">An award of profits based on unjust enrichment or deterrence does not require a </w:t>
      </w:r>
      <w:r w:rsidRPr="00F14DB5">
        <w:rPr>
          <w:rFonts w:ascii="Times New Roman" w:eastAsia="Times New Roman" w:hAnsi="Times New Roman" w:cs="Times New Roman"/>
          <w:sz w:val="26"/>
          <w:szCs w:val="26"/>
        </w:rPr>
        <w:lastRenderedPageBreak/>
        <w:t xml:space="preserve">“higher showing of culpability on the part of the defendant.” </w:t>
      </w:r>
      <w:r w:rsidRPr="00F14DB5">
        <w:rPr>
          <w:rFonts w:ascii="Times New Roman" w:eastAsia="Times New Roman" w:hAnsi="Times New Roman" w:cs="Times New Roman"/>
          <w:i/>
          <w:sz w:val="26"/>
          <w:szCs w:val="26"/>
        </w:rPr>
        <w:t>Burger King Corp. v. Mason</w:t>
      </w:r>
      <w:r w:rsidRPr="00F14DB5">
        <w:rPr>
          <w:rFonts w:ascii="Times New Roman" w:eastAsia="Times New Roman" w:hAnsi="Times New Roman" w:cs="Times New Roman"/>
          <w:sz w:val="26"/>
          <w:szCs w:val="26"/>
        </w:rPr>
        <w:t>, 855 F.2d 779, 781 (11</w:t>
      </w:r>
      <w:r w:rsidR="00F85C92"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1988); </w:t>
      </w:r>
      <w:r w:rsidRPr="00F14DB5">
        <w:rPr>
          <w:rFonts w:ascii="Times New Roman" w:eastAsia="Times New Roman" w:hAnsi="Times New Roman" w:cs="Times New Roman"/>
          <w:i/>
          <w:sz w:val="26"/>
          <w:szCs w:val="26"/>
        </w:rPr>
        <w:t>see also Optimum Techs., Inc. v. Home Depot U.S.A., Inc.</w:t>
      </w:r>
      <w:r w:rsidRPr="00F14DB5">
        <w:rPr>
          <w:rFonts w:ascii="Times New Roman" w:eastAsia="Times New Roman" w:hAnsi="Times New Roman" w:cs="Times New Roman"/>
          <w:sz w:val="26"/>
          <w:szCs w:val="26"/>
        </w:rPr>
        <w:t>, 217 F</w:t>
      </w:r>
      <w:r w:rsidR="00F85C92" w:rsidRPr="00F14DB5">
        <w:rPr>
          <w:rFonts w:ascii="Times New Roman" w:eastAsia="Times New Roman" w:hAnsi="Times New Roman" w:cs="Times New Roman"/>
          <w:sz w:val="26"/>
          <w:szCs w:val="26"/>
        </w:rPr>
        <w:t>.</w:t>
      </w:r>
      <w:r w:rsidRPr="00F14DB5">
        <w:rPr>
          <w:rFonts w:ascii="Times New Roman" w:eastAsia="Times New Roman" w:hAnsi="Times New Roman" w:cs="Times New Roman"/>
          <w:sz w:val="26"/>
          <w:szCs w:val="26"/>
        </w:rPr>
        <w:t xml:space="preserve"> App’x 899 (11</w:t>
      </w:r>
      <w:r w:rsidR="00F85C92"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2007) (holding that willful and deliberate infringement, unjust enrichment and deterrence are appropriate circumstances for an accounting of profits, as well as setting forth definitions of willful infringement and unjust enrichment). Likewise, “the law of this Circuit is well settled that a plaintiff need not demonstrate actual damage to obtain an award reflecting an infringer’s profits under Section 35 of the Lanham Act.” </w:t>
      </w:r>
      <w:r w:rsidRPr="00F14DB5">
        <w:rPr>
          <w:rFonts w:ascii="Times New Roman" w:eastAsia="Times New Roman" w:hAnsi="Times New Roman" w:cs="Times New Roman"/>
          <w:i/>
          <w:sz w:val="26"/>
          <w:szCs w:val="26"/>
        </w:rPr>
        <w:t>Burger King Corp. v. Weaver</w:t>
      </w:r>
      <w:r w:rsidRPr="00F14DB5">
        <w:rPr>
          <w:rFonts w:ascii="Times New Roman" w:eastAsia="Times New Roman" w:hAnsi="Times New Roman" w:cs="Times New Roman"/>
          <w:sz w:val="26"/>
          <w:szCs w:val="26"/>
        </w:rPr>
        <w:t>, 169 F.3d 1310, 1321 (11</w:t>
      </w:r>
      <w:r w:rsidR="00F85C92"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1999)); </w:t>
      </w:r>
      <w:r w:rsidRPr="00F14DB5">
        <w:rPr>
          <w:rFonts w:ascii="Times New Roman" w:eastAsia="Times New Roman" w:hAnsi="Times New Roman" w:cs="Times New Roman"/>
          <w:i/>
          <w:sz w:val="26"/>
          <w:szCs w:val="26"/>
        </w:rPr>
        <w:t>see also id</w:t>
      </w:r>
      <w:r w:rsidRPr="00F14DB5">
        <w:rPr>
          <w:rFonts w:ascii="Times New Roman" w:eastAsia="Times New Roman" w:hAnsi="Times New Roman" w:cs="Times New Roman"/>
          <w:sz w:val="26"/>
          <w:szCs w:val="26"/>
        </w:rPr>
        <w:t xml:space="preserve">. (accounting of defendant’s profits may be appropriate even in absence of direct competition between the parties. </w:t>
      </w:r>
      <w:r w:rsidRPr="00F14DB5">
        <w:rPr>
          <w:rFonts w:ascii="Times New Roman" w:eastAsia="Times New Roman" w:hAnsi="Times New Roman" w:cs="Times New Roman"/>
          <w:i/>
          <w:sz w:val="26"/>
          <w:szCs w:val="26"/>
        </w:rPr>
        <w:t>Babbit Elecs., Inc. v. DynaScan Corp.</w:t>
      </w:r>
      <w:r w:rsidRPr="00F14DB5">
        <w:rPr>
          <w:rFonts w:ascii="Times New Roman" w:eastAsia="Times New Roman" w:hAnsi="Times New Roman" w:cs="Times New Roman"/>
          <w:sz w:val="26"/>
          <w:szCs w:val="26"/>
        </w:rPr>
        <w:t>, 38 F.3d 1161, 1182 (11</w:t>
      </w:r>
      <w:r w:rsidR="00F85C92"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Cir. 1994).</w:t>
      </w:r>
    </w:p>
    <w:p w:rsidR="00E35EED" w:rsidRPr="00F14DB5" w:rsidRDefault="00E35EED" w:rsidP="001958B4">
      <w:pPr>
        <w:spacing w:after="240" w:line="240" w:lineRule="auto"/>
        <w:jc w:val="both"/>
        <w:rPr>
          <w:rFonts w:ascii="Times New Roman" w:eastAsia="Times New Roman" w:hAnsi="Times New Roman" w:cs="Times New Roman"/>
          <w:b/>
          <w:sz w:val="26"/>
          <w:szCs w:val="26"/>
        </w:rPr>
      </w:pPr>
      <w:r w:rsidRPr="00F14DB5">
        <w:rPr>
          <w:rFonts w:ascii="Times New Roman" w:eastAsia="Times New Roman" w:hAnsi="Times New Roman" w:cs="Times New Roman"/>
          <w:b/>
          <w:sz w:val="26"/>
          <w:szCs w:val="26"/>
        </w:rPr>
        <w:t>Punitive Damages</w:t>
      </w:r>
    </w:p>
    <w:p w:rsidR="00725167" w:rsidRPr="00F14DB5" w:rsidRDefault="00E35EED" w:rsidP="001958B4">
      <w:pPr>
        <w:spacing w:after="240" w:line="240" w:lineRule="auto"/>
        <w:ind w:firstLine="720"/>
        <w:jc w:val="both"/>
        <w:rPr>
          <w:rFonts w:ascii="Times New Roman" w:eastAsia="Times New Roman" w:hAnsi="Times New Roman" w:cs="Times New Roman"/>
          <w:sz w:val="26"/>
          <w:szCs w:val="26"/>
        </w:rPr>
      </w:pPr>
      <w:r w:rsidRPr="00F14DB5">
        <w:rPr>
          <w:rFonts w:ascii="Times New Roman" w:eastAsia="Times New Roman" w:hAnsi="Times New Roman" w:cs="Times New Roman"/>
          <w:sz w:val="26"/>
          <w:szCs w:val="26"/>
        </w:rPr>
        <w:t>Section 35 of the Lanham Act does not authorize awards of punitive damages, and, indeed, it provides that any monetary relief made under it be compensation and not a penalty. 15 U.S.C. § 1117</w:t>
      </w:r>
      <w:r w:rsidRPr="005153CF">
        <w:rPr>
          <w:rFonts w:ascii="Times New Roman" w:eastAsia="Times New Roman" w:hAnsi="Times New Roman" w:cs="Times New Roman"/>
          <w:sz w:val="26"/>
          <w:szCs w:val="26"/>
        </w:rPr>
        <w:fldChar w:fldCharType="begin"/>
      </w:r>
      <w:r w:rsidRPr="00F14DB5">
        <w:rPr>
          <w:rFonts w:ascii="Times New Roman" w:eastAsia="Times New Roman" w:hAnsi="Times New Roman" w:cs="Times New Roman"/>
          <w:sz w:val="26"/>
          <w:szCs w:val="26"/>
        </w:rPr>
        <w:instrText xml:space="preserve"> LISTNUM  NumberDefault \l 5 \s 1 </w:instrText>
      </w:r>
      <w:r w:rsidRPr="005153CF">
        <w:rPr>
          <w:rFonts w:ascii="Times New Roman" w:eastAsia="Times New Roman" w:hAnsi="Times New Roman" w:cs="Times New Roman"/>
          <w:sz w:val="26"/>
          <w:szCs w:val="26"/>
        </w:rPr>
        <w:fldChar w:fldCharType="end">
          <w:numberingChange w:id="27" w:author="Author" w:original="(a)"/>
        </w:fldChar>
      </w:r>
      <w:r w:rsidRPr="00F14DB5">
        <w:rPr>
          <w:rFonts w:ascii="Times New Roman" w:eastAsia="Times New Roman" w:hAnsi="Times New Roman" w:cs="Times New Roman"/>
          <w:sz w:val="26"/>
          <w:szCs w:val="26"/>
        </w:rPr>
        <w:t xml:space="preserve"> (20</w:t>
      </w:r>
      <w:r w:rsidR="00F85C92" w:rsidRPr="00F14DB5">
        <w:rPr>
          <w:rFonts w:ascii="Times New Roman" w:eastAsia="Times New Roman" w:hAnsi="Times New Roman" w:cs="Times New Roman"/>
          <w:sz w:val="26"/>
          <w:szCs w:val="26"/>
        </w:rPr>
        <w:t>12</w:t>
      </w:r>
      <w:r w:rsidRPr="00F14DB5">
        <w:rPr>
          <w:rFonts w:ascii="Times New Roman" w:eastAsia="Times New Roman" w:hAnsi="Times New Roman" w:cs="Times New Roman"/>
          <w:sz w:val="26"/>
          <w:szCs w:val="26"/>
        </w:rPr>
        <w:t xml:space="preserve">). Nevertheless, the Lanham Act does not preempt awards of punitive damages under state law. </w:t>
      </w:r>
      <w:r w:rsidRPr="00F14DB5">
        <w:rPr>
          <w:rFonts w:ascii="Times New Roman" w:eastAsia="Times New Roman" w:hAnsi="Times New Roman" w:cs="Times New Roman"/>
          <w:i/>
          <w:sz w:val="26"/>
          <w:szCs w:val="26"/>
        </w:rPr>
        <w:t>See generally</w:t>
      </w:r>
      <w:r w:rsidRPr="00F14DB5">
        <w:rPr>
          <w:rFonts w:ascii="Times New Roman" w:eastAsia="Times New Roman" w:hAnsi="Times New Roman" w:cs="Times New Roman"/>
          <w:sz w:val="26"/>
          <w:szCs w:val="26"/>
        </w:rPr>
        <w:t xml:space="preserve"> 5 J. Thomas McCarthy, </w:t>
      </w:r>
      <w:r w:rsidRPr="00F14DB5">
        <w:rPr>
          <w:rFonts w:ascii="Times New Roman" w:eastAsia="Times New Roman" w:hAnsi="Times New Roman" w:cs="Times New Roman"/>
          <w:i/>
          <w:sz w:val="26"/>
          <w:szCs w:val="26"/>
        </w:rPr>
        <w:t>McCarthy on Trademarks and Unfair Competition</w:t>
      </w:r>
      <w:r w:rsidRPr="00F14DB5">
        <w:rPr>
          <w:rFonts w:ascii="Times New Roman" w:eastAsia="Times New Roman" w:hAnsi="Times New Roman" w:cs="Times New Roman"/>
          <w:sz w:val="26"/>
          <w:szCs w:val="26"/>
        </w:rPr>
        <w:t xml:space="preserve"> § 30:96 (4</w:t>
      </w:r>
      <w:r w:rsidR="00F85C92" w:rsidRPr="00F14DB5">
        <w:rPr>
          <w:rFonts w:ascii="Times New Roman" w:eastAsia="Times New Roman" w:hAnsi="Times New Roman" w:cs="Times New Roman"/>
          <w:sz w:val="26"/>
          <w:szCs w:val="26"/>
        </w:rPr>
        <w:t>th</w:t>
      </w:r>
      <w:r w:rsidRPr="00F14DB5">
        <w:rPr>
          <w:rFonts w:ascii="Times New Roman" w:eastAsia="Times New Roman" w:hAnsi="Times New Roman" w:cs="Times New Roman"/>
          <w:sz w:val="26"/>
          <w:szCs w:val="26"/>
        </w:rPr>
        <w:t xml:space="preserve"> ed.) (citing state law cases).</w:t>
      </w:r>
    </w:p>
    <w:sectPr w:rsidR="00725167" w:rsidRPr="00F14D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C9" w:rsidRDefault="00C671C9" w:rsidP="00856755">
      <w:pPr>
        <w:spacing w:after="0" w:line="240" w:lineRule="auto"/>
      </w:pPr>
      <w:r>
        <w:separator/>
      </w:r>
    </w:p>
  </w:endnote>
  <w:endnote w:type="continuationSeparator" w:id="0">
    <w:p w:rsidR="00C671C9" w:rsidRDefault="00C671C9" w:rsidP="0085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C9" w:rsidRDefault="00C671C9" w:rsidP="00856755">
      <w:pPr>
        <w:spacing w:after="0" w:line="240" w:lineRule="auto"/>
      </w:pPr>
      <w:r>
        <w:separator/>
      </w:r>
    </w:p>
  </w:footnote>
  <w:footnote w:type="continuationSeparator" w:id="0">
    <w:p w:rsidR="00C671C9" w:rsidRDefault="00C671C9" w:rsidP="00856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33E23"/>
    <w:rsid w:val="00075AA1"/>
    <w:rsid w:val="000A1C0D"/>
    <w:rsid w:val="000B240A"/>
    <w:rsid w:val="0012451E"/>
    <w:rsid w:val="001672EC"/>
    <w:rsid w:val="001958B4"/>
    <w:rsid w:val="001E02CA"/>
    <w:rsid w:val="001E17DC"/>
    <w:rsid w:val="001E531F"/>
    <w:rsid w:val="002027BE"/>
    <w:rsid w:val="00227C37"/>
    <w:rsid w:val="00234A85"/>
    <w:rsid w:val="00240B28"/>
    <w:rsid w:val="00256E02"/>
    <w:rsid w:val="002840A9"/>
    <w:rsid w:val="00295869"/>
    <w:rsid w:val="002B5D87"/>
    <w:rsid w:val="002B67EE"/>
    <w:rsid w:val="00381E3F"/>
    <w:rsid w:val="003C6FF2"/>
    <w:rsid w:val="00427B27"/>
    <w:rsid w:val="004651BD"/>
    <w:rsid w:val="004C1C78"/>
    <w:rsid w:val="00503F77"/>
    <w:rsid w:val="005153CF"/>
    <w:rsid w:val="00553E23"/>
    <w:rsid w:val="00574F61"/>
    <w:rsid w:val="005819CC"/>
    <w:rsid w:val="006070B0"/>
    <w:rsid w:val="00622A65"/>
    <w:rsid w:val="00695E01"/>
    <w:rsid w:val="006E19CC"/>
    <w:rsid w:val="00703AA4"/>
    <w:rsid w:val="00725167"/>
    <w:rsid w:val="00737C69"/>
    <w:rsid w:val="0076151A"/>
    <w:rsid w:val="00782A84"/>
    <w:rsid w:val="007A4237"/>
    <w:rsid w:val="007B150F"/>
    <w:rsid w:val="007B74C2"/>
    <w:rsid w:val="007D42A6"/>
    <w:rsid w:val="0081575C"/>
    <w:rsid w:val="00854FFE"/>
    <w:rsid w:val="00856755"/>
    <w:rsid w:val="008729F0"/>
    <w:rsid w:val="0089546D"/>
    <w:rsid w:val="008A602D"/>
    <w:rsid w:val="008B5673"/>
    <w:rsid w:val="00927349"/>
    <w:rsid w:val="009454D2"/>
    <w:rsid w:val="00956B04"/>
    <w:rsid w:val="0099571C"/>
    <w:rsid w:val="009A03FE"/>
    <w:rsid w:val="009B08F4"/>
    <w:rsid w:val="00A17554"/>
    <w:rsid w:val="00A32720"/>
    <w:rsid w:val="00A40DC0"/>
    <w:rsid w:val="00A45395"/>
    <w:rsid w:val="00AD447F"/>
    <w:rsid w:val="00AD6A8B"/>
    <w:rsid w:val="00AF2F33"/>
    <w:rsid w:val="00B11E13"/>
    <w:rsid w:val="00B56238"/>
    <w:rsid w:val="00B605E7"/>
    <w:rsid w:val="00B76AF3"/>
    <w:rsid w:val="00BA403B"/>
    <w:rsid w:val="00BA604B"/>
    <w:rsid w:val="00BD7417"/>
    <w:rsid w:val="00C014DB"/>
    <w:rsid w:val="00C26F27"/>
    <w:rsid w:val="00C342AC"/>
    <w:rsid w:val="00C440AF"/>
    <w:rsid w:val="00C473BC"/>
    <w:rsid w:val="00C671C9"/>
    <w:rsid w:val="00CC586E"/>
    <w:rsid w:val="00CF0641"/>
    <w:rsid w:val="00D046BA"/>
    <w:rsid w:val="00DC18AE"/>
    <w:rsid w:val="00DD3EED"/>
    <w:rsid w:val="00E14061"/>
    <w:rsid w:val="00E20914"/>
    <w:rsid w:val="00E33549"/>
    <w:rsid w:val="00E35EED"/>
    <w:rsid w:val="00E60CBF"/>
    <w:rsid w:val="00E7659F"/>
    <w:rsid w:val="00E83270"/>
    <w:rsid w:val="00EA10EB"/>
    <w:rsid w:val="00F14DB5"/>
    <w:rsid w:val="00F5350D"/>
    <w:rsid w:val="00F85C92"/>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2017-08-23T14:13:00Z</dcterms:created>
  <dcterms:modified xsi:type="dcterms:W3CDTF">2017-08-23T14:31:00Z</dcterms:modified>
</cp:coreProperties>
</file>