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1" w:rsidRDefault="00A63521" w:rsidP="009342AB">
      <w:pPr>
        <w:spacing w:after="0" w:line="48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10.3 Defenses to Claim of Infringement of a Trademark</w:t>
      </w:r>
    </w:p>
    <w:p w:rsidR="00A63521" w:rsidRPr="007737F1" w:rsidRDefault="00A63521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has shown a likelihood of confusion, but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cla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ims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is not liable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for trademark infringement because one or more of the following defenses exist.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has the burden of proving [a] defense[s] to trademark infringement by a preponderance of the evidence.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[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the use of plaintiff’s trademark is a nominative fair use:</w:t>
      </w:r>
    </w:p>
    <w:p w:rsidR="00A63521" w:rsidRPr="007737F1" w:rsidRDefault="00A63521" w:rsidP="00A6352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Nominative fair use is a defense to a claim of trademark infringement. Under this defense,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may use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to refer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goods, but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may not use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to refer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own goods. You must find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use of the trademark was not infringing if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proves by a preponderance of the evidence that [his/her/its]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meets the following elements: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 is the only name, term, or symbol reasonably available to describe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goods;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2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does not attempt to capitalize on consumer confusion or to appropriate the prestige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trademark; and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3" w:author="Author" w:original="3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use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 does not identify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as the source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goods.]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[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t xml:space="preserve">The following instruction should be given in cases in which defendant claims that 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[his/her/its] use of plaintiff’s trademark is descriptive fair use:</w:t>
      </w:r>
    </w:p>
    <w:p w:rsidR="00A63521" w:rsidRPr="007737F1" w:rsidRDefault="00A63521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Descriptive fair use is a defense to a claim of trademark infringement.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is not liable for infringement if [he/she/it] proves by a preponderance of the evidence that [his/her/its]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necessary to accurately describe a characteristic of [his/her/its] goods. To establish this defense,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must prove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used: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Other than as a trademark;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5" w:author="Author" w:original="2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In a descriptive sense; and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6" w:author="Author" w:original="3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Fairly and in good faith – that is,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did not intend to trade on the goodwill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by creating confusion as to the source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goods.]</w:t>
      </w:r>
    </w:p>
    <w:p w:rsidR="00A63521" w:rsidRPr="008C48B1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[</w:t>
      </w:r>
      <w:r w:rsidRPr="008C48B1">
        <w:rPr>
          <w:rFonts w:ascii="Times New Roman" w:eastAsia="Arial" w:hAnsi="Times New Roman" w:cs="Times New Roman"/>
          <w:sz w:val="28"/>
          <w:szCs w:val="28"/>
          <w:u w:val="single"/>
        </w:rPr>
        <w:t>The following instruction should be given in cases in which defendant claims that plaintiff abandoned [his/her/its] trademark:</w:t>
      </w:r>
    </w:p>
    <w:p w:rsidR="00A63521" w:rsidRPr="00AB060D" w:rsidRDefault="00A63521" w:rsidP="009342A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Abandonment of a trademark is a defense to a claim of infringement. To prove abandonment,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 xml:space="preserve">] must prove </w:t>
      </w:r>
      <w:r w:rsidR="00B25770">
        <w:rPr>
          <w:rFonts w:ascii="Times New Roman" w:eastAsia="Arial" w:hAnsi="Times New Roman" w:cs="Times New Roman"/>
          <w:sz w:val="28"/>
          <w:szCs w:val="28"/>
        </w:rPr>
        <w:t xml:space="preserve">the following </w:t>
      </w:r>
      <w:r>
        <w:rPr>
          <w:rFonts w:ascii="Times New Roman" w:eastAsia="Arial" w:hAnsi="Times New Roman" w:cs="Times New Roman"/>
          <w:sz w:val="28"/>
          <w:szCs w:val="28"/>
        </w:rPr>
        <w:t>by a preponderance of the evidence:</w:t>
      </w:r>
    </w:p>
    <w:p w:rsidR="00A63521" w:rsidRPr="009342AB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7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discontinued the bona fide use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trademark, and did so with the intent to not resume [his/her/its] use in the reasonably foreseeable future. If you find that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has not used the trademark for three consecutive years, you may presume that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did not intend to resume use of the trademark, but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can rebut that presumption by producing evidence that [he/she/it] intended to resume use; or</w:t>
      </w:r>
    </w:p>
    <w:p w:rsidR="00A63521" w:rsidRDefault="009342AB" w:rsidP="009342A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8" w:author="Author" w:original="2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 acted or failed to act, and as a result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trademark no longer identifies the source of [</w:t>
      </w:r>
      <w:r w:rsidR="00A63521" w:rsidRPr="009342AB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A63521" w:rsidRPr="009342AB">
        <w:rPr>
          <w:rFonts w:ascii="Times New Roman" w:eastAsia="Arial" w:hAnsi="Times New Roman" w:cs="Times New Roman"/>
          <w:sz w:val="28"/>
          <w:szCs w:val="28"/>
        </w:rPr>
        <w:t>]’s goods and has become a generic term for the associated goods.]</w:t>
      </w:r>
    </w:p>
    <w:p w:rsidR="00375DD7" w:rsidRPr="00375DD7" w:rsidRDefault="00375DD7" w:rsidP="00375DD7">
      <w:pPr>
        <w:pStyle w:val="00BulletList"/>
        <w:numPr>
          <w:ilvl w:val="0"/>
          <w:numId w:val="0"/>
        </w:numPr>
        <w:ind w:firstLine="720"/>
        <w:rPr>
          <w:sz w:val="28"/>
          <w:szCs w:val="28"/>
        </w:rPr>
      </w:pPr>
      <w:r w:rsidRPr="00375DD7">
        <w:rPr>
          <w:sz w:val="28"/>
          <w:szCs w:val="28"/>
        </w:rPr>
        <w:t>[</w:t>
      </w:r>
      <w:r w:rsidRPr="00375DD7">
        <w:rPr>
          <w:sz w:val="28"/>
          <w:szCs w:val="28"/>
          <w:u w:val="single"/>
        </w:rPr>
        <w:t>The following instruction should be given in cases in which defendant claims to be the senior user of a mark under Section 15 of the Lanham Act, 15 U.S.C. § 1065 (2012), in an action brought by a plaintiff owning an incontestable federal registration on the Principal Register:</w:t>
      </w:r>
    </w:p>
    <w:p w:rsidR="00375DD7" w:rsidRPr="00375DD7" w:rsidRDefault="00375DD7" w:rsidP="00375DD7">
      <w:pPr>
        <w:pStyle w:val="00BulletList"/>
        <w:numPr>
          <w:ilvl w:val="0"/>
          <w:numId w:val="0"/>
        </w:numPr>
        <w:ind w:firstLine="720"/>
        <w:rPr>
          <w:sz w:val="28"/>
          <w:szCs w:val="28"/>
        </w:rPr>
      </w:pPr>
      <w:r w:rsidRPr="00375DD7">
        <w:rPr>
          <w:sz w:val="28"/>
          <w:szCs w:val="28"/>
        </w:rPr>
        <w:t>Prior use of a trademark in a particular geographic area is a defense to a claim of infringement. To prove prior use, 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 xml:space="preserve">] must prove </w:t>
      </w:r>
      <w:r w:rsidR="00B25770">
        <w:rPr>
          <w:sz w:val="28"/>
          <w:szCs w:val="28"/>
        </w:rPr>
        <w:t xml:space="preserve">the following </w:t>
      </w:r>
      <w:r w:rsidRPr="00375DD7">
        <w:rPr>
          <w:sz w:val="28"/>
          <w:szCs w:val="28"/>
        </w:rPr>
        <w:t>by a preponderance of the evidence:</w:t>
      </w:r>
    </w:p>
    <w:p w:rsidR="00375DD7" w:rsidRPr="00375DD7" w:rsidRDefault="00375DD7" w:rsidP="00375DD7">
      <w:pPr>
        <w:pStyle w:val="00BulletList"/>
        <w:numPr>
          <w:ilvl w:val="0"/>
          <w:numId w:val="2"/>
        </w:numPr>
        <w:ind w:left="1080"/>
        <w:rPr>
          <w:sz w:val="28"/>
          <w:szCs w:val="28"/>
        </w:rPr>
      </w:pPr>
      <w:r w:rsidRPr="00375DD7">
        <w:rPr>
          <w:sz w:val="28"/>
          <w:szCs w:val="28"/>
        </w:rPr>
        <w:t>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>] began using its mark in a particular geographic area before [</w:t>
      </w:r>
      <w:r w:rsidRPr="00375DD7">
        <w:rPr>
          <w:sz w:val="28"/>
          <w:szCs w:val="28"/>
          <w:u w:val="single"/>
        </w:rPr>
        <w:t>name of plaintiff</w:t>
      </w:r>
      <w:r w:rsidRPr="00375DD7">
        <w:rPr>
          <w:sz w:val="28"/>
          <w:szCs w:val="28"/>
        </w:rPr>
        <w:t>] began using its mark in that area; and</w:t>
      </w:r>
    </w:p>
    <w:p w:rsidR="00375DD7" w:rsidRPr="00375DD7" w:rsidRDefault="00375DD7" w:rsidP="00375DD7">
      <w:pPr>
        <w:pStyle w:val="00BulletList"/>
        <w:numPr>
          <w:ilvl w:val="0"/>
          <w:numId w:val="2"/>
        </w:numPr>
        <w:ind w:left="1080"/>
        <w:rPr>
          <w:sz w:val="28"/>
          <w:szCs w:val="28"/>
        </w:rPr>
      </w:pPr>
      <w:r w:rsidRPr="00375DD7">
        <w:rPr>
          <w:sz w:val="28"/>
          <w:szCs w:val="28"/>
        </w:rPr>
        <w:t>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>]’s use of its mark in that geographic area has been continuous since that use began.]</w:t>
      </w:r>
    </w:p>
    <w:p w:rsidR="00375DD7" w:rsidRPr="00375DD7" w:rsidRDefault="00375DD7" w:rsidP="00375DD7">
      <w:pPr>
        <w:pStyle w:val="00BulletList"/>
        <w:numPr>
          <w:ilvl w:val="0"/>
          <w:numId w:val="0"/>
        </w:numPr>
        <w:rPr>
          <w:sz w:val="28"/>
          <w:szCs w:val="28"/>
          <w:u w:val="single"/>
        </w:rPr>
      </w:pPr>
      <w:r w:rsidRPr="00375DD7">
        <w:rPr>
          <w:sz w:val="28"/>
          <w:szCs w:val="28"/>
        </w:rPr>
        <w:tab/>
      </w:r>
      <w:r w:rsidRPr="00375DD7">
        <w:rPr>
          <w:sz w:val="28"/>
          <w:szCs w:val="28"/>
          <w:u w:val="single"/>
        </w:rPr>
        <w:t>[The following instruction should be given in cases in which a defendant claims to be an intermediate junior user of a mark under Section 33(b)(5) of the Lanham Act, 15 U.S.C. § 1115(b)(5) (2012), in an action brought by a plaintiff owning a federal registration on the Principal Register:</w:t>
      </w:r>
    </w:p>
    <w:p w:rsidR="00375DD7" w:rsidRPr="00375DD7" w:rsidRDefault="00375DD7" w:rsidP="00375DD7">
      <w:pPr>
        <w:pStyle w:val="00BulletList"/>
        <w:numPr>
          <w:ilvl w:val="0"/>
          <w:numId w:val="0"/>
        </w:numPr>
        <w:rPr>
          <w:sz w:val="28"/>
          <w:szCs w:val="28"/>
        </w:rPr>
      </w:pPr>
      <w:r w:rsidRPr="00375DD7">
        <w:rPr>
          <w:sz w:val="28"/>
          <w:szCs w:val="28"/>
        </w:rPr>
        <w:tab/>
        <w:t>Prior use of a trademark in a remote geographic area before a plaintiff’s registration issued is a defense to a claim of infringement. To prove prior use, 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 xml:space="preserve">] must prove </w:t>
      </w:r>
      <w:r w:rsidR="003E5B6F">
        <w:rPr>
          <w:sz w:val="28"/>
          <w:szCs w:val="28"/>
        </w:rPr>
        <w:t xml:space="preserve">the following </w:t>
      </w:r>
      <w:r w:rsidRPr="00375DD7">
        <w:rPr>
          <w:sz w:val="28"/>
          <w:szCs w:val="28"/>
        </w:rPr>
        <w:t>by a preponderance of the evidence:</w:t>
      </w:r>
    </w:p>
    <w:p w:rsidR="00375DD7" w:rsidRPr="00375DD7" w:rsidRDefault="00375DD7" w:rsidP="00375DD7">
      <w:pPr>
        <w:pStyle w:val="00BulletList"/>
        <w:numPr>
          <w:ilvl w:val="0"/>
          <w:numId w:val="3"/>
        </w:numPr>
        <w:ind w:left="1080"/>
        <w:rPr>
          <w:sz w:val="28"/>
          <w:szCs w:val="28"/>
        </w:rPr>
      </w:pPr>
      <w:r w:rsidRPr="00375DD7">
        <w:rPr>
          <w:sz w:val="28"/>
          <w:szCs w:val="28"/>
        </w:rPr>
        <w:t>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>] began using its mark in a particular geographic area before [</w:t>
      </w:r>
      <w:r w:rsidRPr="00375DD7">
        <w:rPr>
          <w:sz w:val="28"/>
          <w:szCs w:val="28"/>
          <w:u w:val="single"/>
        </w:rPr>
        <w:t>name of plaintiff</w:t>
      </w:r>
      <w:r w:rsidRPr="00375DD7">
        <w:rPr>
          <w:sz w:val="28"/>
          <w:szCs w:val="28"/>
        </w:rPr>
        <w:t>] received a federal registration of [name of plaintiff]’s mark;</w:t>
      </w:r>
    </w:p>
    <w:p w:rsidR="00375DD7" w:rsidRPr="00375DD7" w:rsidRDefault="00375DD7" w:rsidP="00375DD7">
      <w:pPr>
        <w:pStyle w:val="00BulletList"/>
        <w:numPr>
          <w:ilvl w:val="0"/>
          <w:numId w:val="3"/>
        </w:numPr>
        <w:ind w:left="1080"/>
        <w:rPr>
          <w:sz w:val="28"/>
          <w:szCs w:val="28"/>
        </w:rPr>
      </w:pPr>
      <w:r w:rsidRPr="00375DD7">
        <w:rPr>
          <w:sz w:val="28"/>
          <w:szCs w:val="28"/>
        </w:rPr>
        <w:t>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>] began using its mark without knowledge of the [</w:t>
      </w:r>
      <w:r w:rsidRPr="00375DD7">
        <w:rPr>
          <w:sz w:val="28"/>
          <w:szCs w:val="28"/>
          <w:u w:val="single"/>
        </w:rPr>
        <w:t>name of plaintiff</w:t>
      </w:r>
      <w:r w:rsidRPr="00375DD7">
        <w:rPr>
          <w:sz w:val="28"/>
          <w:szCs w:val="28"/>
        </w:rPr>
        <w:t>]’s prior use of its mark; and</w:t>
      </w:r>
    </w:p>
    <w:p w:rsidR="00375DD7" w:rsidRPr="00375DD7" w:rsidRDefault="00375DD7" w:rsidP="00375DD7">
      <w:pPr>
        <w:pStyle w:val="00BulletList"/>
        <w:numPr>
          <w:ilvl w:val="0"/>
          <w:numId w:val="3"/>
        </w:numPr>
        <w:ind w:left="1080"/>
        <w:rPr>
          <w:sz w:val="28"/>
          <w:szCs w:val="28"/>
        </w:rPr>
      </w:pPr>
      <w:r w:rsidRPr="00375DD7">
        <w:rPr>
          <w:sz w:val="28"/>
          <w:szCs w:val="28"/>
        </w:rPr>
        <w:t>[</w:t>
      </w:r>
      <w:r w:rsidRPr="00375DD7">
        <w:rPr>
          <w:sz w:val="28"/>
          <w:szCs w:val="28"/>
          <w:u w:val="single"/>
        </w:rPr>
        <w:t>Name of defendant</w:t>
      </w:r>
      <w:r w:rsidRPr="00375DD7">
        <w:rPr>
          <w:sz w:val="28"/>
          <w:szCs w:val="28"/>
        </w:rPr>
        <w:t>] has used its mark continuously in its geographic area since before [</w:t>
      </w:r>
      <w:r w:rsidRPr="00375DD7">
        <w:rPr>
          <w:sz w:val="28"/>
          <w:szCs w:val="28"/>
          <w:u w:val="single"/>
        </w:rPr>
        <w:t>name of plaintiff</w:t>
      </w:r>
      <w:r w:rsidRPr="00375DD7">
        <w:rPr>
          <w:sz w:val="28"/>
          <w:szCs w:val="28"/>
        </w:rPr>
        <w:t>] received a federal registration of [</w:t>
      </w:r>
      <w:r w:rsidRPr="00375DD7">
        <w:rPr>
          <w:sz w:val="28"/>
          <w:szCs w:val="28"/>
          <w:u w:val="single"/>
        </w:rPr>
        <w:t>name of plaintiff</w:t>
      </w:r>
      <w:r w:rsidRPr="00375DD7">
        <w:rPr>
          <w:sz w:val="28"/>
          <w:szCs w:val="28"/>
        </w:rPr>
        <w:t>]’s mark.</w:t>
      </w:r>
    </w:p>
    <w:p w:rsidR="00375DD7" w:rsidRPr="00AC3803" w:rsidRDefault="00375DD7" w:rsidP="00AC3803">
      <w:pPr>
        <w:pStyle w:val="00BodyText5"/>
        <w:jc w:val="center"/>
        <w:rPr>
          <w:sz w:val="28"/>
          <w:szCs w:val="28"/>
        </w:rPr>
      </w:pPr>
      <w:r w:rsidRPr="00375DD7">
        <w:rPr>
          <w:sz w:val="28"/>
          <w:szCs w:val="28"/>
        </w:rPr>
        <w:t>———.———</w:t>
      </w:r>
    </w:p>
    <w:p w:rsidR="00A63521" w:rsidRPr="008C48B1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C48B1">
        <w:rPr>
          <w:rFonts w:ascii="Times New Roman" w:eastAsia="Arial" w:hAnsi="Times New Roman" w:cs="Times New Roman"/>
          <w:sz w:val="28"/>
          <w:szCs w:val="28"/>
        </w:rPr>
        <w:t>Defenses to Claim of Infringement of a Trademark</w:t>
      </w:r>
    </w:p>
    <w:p w:rsidR="00A63521" w:rsidRPr="00BE753F" w:rsidRDefault="00A63521" w:rsidP="009342AB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lastRenderedPageBreak/>
        <w:t>Special Interrogatories to the Jury</w:t>
      </w:r>
    </w:p>
    <w:p w:rsidR="00A63521" w:rsidRPr="008C48B1" w:rsidRDefault="008C48B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Do you</w:t>
      </w:r>
      <w:r w:rsidR="00A63521" w:rsidRPr="008C48B1">
        <w:rPr>
          <w:rFonts w:ascii="Times New Roman" w:eastAsia="Arial" w:hAnsi="Times New Roman" w:cs="Times New Roman"/>
          <w:b/>
          <w:sz w:val="28"/>
          <w:szCs w:val="28"/>
        </w:rPr>
        <w:t xml:space="preserve"> find by a preponderance of the evidence that:</w:t>
      </w:r>
    </w:p>
    <w:p w:rsidR="00A63521" w:rsidRPr="008C48B1" w:rsidRDefault="00375DD7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[</w:t>
      </w:r>
      <w:r w:rsidR="00A63521" w:rsidRPr="008C48B1">
        <w:rPr>
          <w:rFonts w:ascii="Times New Roman" w:eastAsia="Arial" w:hAnsi="Times New Roman" w:cs="Times New Roman"/>
          <w:b/>
          <w:sz w:val="28"/>
          <w:szCs w:val="28"/>
        </w:rPr>
        <w:t>Use these special interrogatories if defendant is claiming that [his/her/its] use is nominative fair use:</w:t>
      </w:r>
    </w:p>
    <w:p w:rsidR="00A63521" w:rsidRPr="00AB060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9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the only reasonable way to describe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goods</w:t>
      </w:r>
      <w:r w:rsidR="00375DD7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375DD7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DD7">
        <w:rPr>
          <w:rFonts w:ascii="Times New Roman" w:eastAsia="Arial" w:hAnsi="Times New Roman" w:cs="Times New Roman"/>
          <w:sz w:val="28"/>
          <w:szCs w:val="28"/>
        </w:rPr>
        <w:t xml:space="preserve">If your answer is “Yes,” then go to </w:t>
      </w:r>
      <w:r w:rsidR="00375DD7" w:rsidRPr="00375DD7">
        <w:rPr>
          <w:rFonts w:ascii="Times New Roman" w:eastAsia="Arial" w:hAnsi="Times New Roman" w:cs="Times New Roman"/>
          <w:sz w:val="28"/>
          <w:szCs w:val="28"/>
        </w:rPr>
        <w:t>the next question</w:t>
      </w:r>
      <w:r w:rsidRPr="00375DD7">
        <w:rPr>
          <w:rFonts w:ascii="Times New Roman" w:eastAsia="Arial" w:hAnsi="Times New Roman" w:cs="Times New Roman"/>
          <w:sz w:val="28"/>
          <w:szCs w:val="28"/>
        </w:rPr>
        <w:t xml:space="preserve">. If your answer is “No,” then go to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</w:p>
    <w:p w:rsidR="00A63521" w:rsidRPr="00A15349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0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BE753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]’s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not an attempt to capitalize on consumer confusion or to appropriate the prestige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</w:t>
      </w:r>
      <w:r w:rsidR="00375DD7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</w:t>
      </w:r>
      <w:r w:rsidR="00375DD7">
        <w:rPr>
          <w:rFonts w:ascii="Times New Roman" w:eastAsia="Arial" w:hAnsi="Times New Roman" w:cs="Times New Roman"/>
          <w:sz w:val="28"/>
          <w:szCs w:val="28"/>
        </w:rPr>
        <w:t>the next question.</w:t>
      </w:r>
      <w:r>
        <w:rPr>
          <w:rFonts w:ascii="Times New Roman" w:eastAsia="Arial" w:hAnsi="Times New Roman" w:cs="Times New Roman"/>
          <w:sz w:val="28"/>
          <w:szCs w:val="28"/>
        </w:rPr>
        <w:t xml:space="preserve"> If your answer is “No,” then go to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</w:p>
    <w:p w:rsidR="00A63521" w:rsidRPr="00A15349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1" w:author="Author" w:original="3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is not intended to identify [his/her/its] goods with the source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plaintiff</w:t>
      </w:r>
      <w:r>
        <w:rPr>
          <w:rFonts w:ascii="Times New Roman" w:eastAsia="Arial" w:hAnsi="Times New Roman" w:cs="Times New Roman"/>
          <w:sz w:val="28"/>
          <w:szCs w:val="28"/>
        </w:rPr>
        <w:t>]’s goods</w:t>
      </w:r>
      <w:r w:rsidR="00375DD7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 If your answer is “</w:t>
      </w:r>
      <w:r w:rsidR="008C48B1">
        <w:rPr>
          <w:rFonts w:ascii="Times New Roman" w:eastAsia="Arial" w:hAnsi="Times New Roman" w:cs="Times New Roman"/>
          <w:sz w:val="28"/>
          <w:szCs w:val="28"/>
        </w:rPr>
        <w:t xml:space="preserve">No,” then go to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  <w:r w:rsidR="002B6FA0">
        <w:rPr>
          <w:rFonts w:ascii="Times New Roman" w:eastAsia="Arial" w:hAnsi="Times New Roman" w:cs="Times New Roman"/>
          <w:sz w:val="28"/>
          <w:szCs w:val="28"/>
        </w:rPr>
        <w:t>]</w:t>
      </w:r>
    </w:p>
    <w:p w:rsidR="00A63521" w:rsidRPr="00A15349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is claiming that [his/her/its] use is descriptive fair use:</w:t>
      </w:r>
    </w:p>
    <w:p w:rsidR="00A63521" w:rsidRPr="004A2ED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4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2" w:author="Author" w:original="4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 used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a way other than as a trademark.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</w:t>
      </w:r>
      <w:r w:rsidR="00375DD7">
        <w:rPr>
          <w:rFonts w:ascii="Times New Roman" w:eastAsia="Arial" w:hAnsi="Times New Roman" w:cs="Times New Roman"/>
          <w:sz w:val="28"/>
          <w:szCs w:val="28"/>
        </w:rPr>
        <w:t>the next question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</w:t>
      </w:r>
      <w:r w:rsidR="00375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521" w:rsidRPr="00EE2322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5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3" w:author="Author" w:original="5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 used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a descriptive sense.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681690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If your answer is “Yes,” then go to </w:t>
      </w:r>
      <w:r w:rsidR="00375DD7">
        <w:rPr>
          <w:rFonts w:ascii="Times New Roman" w:eastAsia="Arial" w:hAnsi="Times New Roman" w:cs="Times New Roman"/>
          <w:sz w:val="28"/>
          <w:szCs w:val="28"/>
        </w:rPr>
        <w:t>the next question</w:t>
      </w:r>
      <w:r>
        <w:rPr>
          <w:rFonts w:ascii="Times New Roman" w:eastAsia="Arial" w:hAnsi="Times New Roman" w:cs="Times New Roman"/>
          <w:sz w:val="28"/>
          <w:szCs w:val="28"/>
        </w:rPr>
        <w:t xml:space="preserve">. If your answer is “No,” then go to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t xml:space="preserve">the special interrogatories on Remedies in either the jury charges for Infringement of Registered Trademark or Infringement of an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lastRenderedPageBreak/>
        <w:t>Unregistered Trademark.</w:t>
      </w:r>
    </w:p>
    <w:p w:rsidR="00A63521" w:rsidRPr="00A15349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6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4" w:author="Author" w:original="6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used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good faith.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</w:t>
      </w:r>
      <w:r w:rsidRPr="00375D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DD7" w:rsidRPr="00375DD7">
        <w:rPr>
          <w:rFonts w:ascii="Times New Roman" w:eastAsia="Calibri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Trademark.</w:t>
      </w:r>
      <w:r>
        <w:rPr>
          <w:rFonts w:ascii="Times New Roman" w:eastAsia="Arial" w:hAnsi="Times New Roman" w:cs="Times New Roman"/>
          <w:sz w:val="28"/>
          <w:szCs w:val="28"/>
        </w:rPr>
        <w:t>]</w:t>
      </w:r>
    </w:p>
    <w:p w:rsidR="00A63521" w:rsidRPr="00A15349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[Use these special interrogatories if defendant asserts that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has abandoned [his/her/its] trademark</w:t>
      </w:r>
      <w:r w:rsidR="00F3243A">
        <w:rPr>
          <w:rFonts w:ascii="Times New Roman" w:eastAsia="Arial" w:hAnsi="Times New Roman" w:cs="Times New Roman"/>
          <w:b/>
          <w:sz w:val="28"/>
          <w:szCs w:val="28"/>
        </w:rPr>
        <w:t xml:space="preserve"> through nonuse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A63521" w:rsidRPr="004A2ED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7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5" w:author="Author" w:original="7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has ceased using the trademark with the intent to not resume [his/her/its] use in the reasonably foreseeable future</w:t>
      </w:r>
      <w:r w:rsidR="00F3243A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your foreperson should sign and date the last page of this verdict form. </w:t>
      </w: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then go to </w:t>
      </w:r>
      <w:r w:rsidR="00F3243A" w:rsidRPr="00F3243A">
        <w:rPr>
          <w:rFonts w:ascii="Times New Roman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</w:t>
      </w:r>
      <w:r w:rsidR="00F3243A" w:rsidRPr="00F3243A">
        <w:rPr>
          <w:rFonts w:ascii="Times New Roman" w:eastAsia="Arial" w:hAnsi="Times New Roman" w:cs="Times New Roman"/>
          <w:sz w:val="28"/>
          <w:szCs w:val="28"/>
        </w:rPr>
        <w:t>.</w:t>
      </w:r>
      <w:r w:rsidR="00F3243A">
        <w:rPr>
          <w:rFonts w:ascii="Times New Roman" w:eastAsia="Arial" w:hAnsi="Times New Roman" w:cs="Times New Roman"/>
          <w:sz w:val="28"/>
          <w:szCs w:val="28"/>
        </w:rPr>
        <w:t>]</w:t>
      </w:r>
    </w:p>
    <w:p w:rsidR="00F3243A" w:rsidRPr="00F3243A" w:rsidRDefault="00F3243A" w:rsidP="00F3243A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3243A">
        <w:rPr>
          <w:rFonts w:ascii="Times New Roman" w:eastAsia="Arial" w:hAnsi="Times New Roman" w:cs="Times New Roman"/>
          <w:b/>
          <w:sz w:val="28"/>
          <w:szCs w:val="28"/>
        </w:rPr>
        <w:t>[Use these special interrogatories if defendant asserts that plaintiff has abandoned [his/her/its] trademark through acts or omissions causing the mark to lose its significance as a mark:</w:t>
      </w:r>
    </w:p>
    <w:p w:rsidR="00A63521" w:rsidRPr="00EE2322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8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6" w:author="Author" w:original="8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Because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 xml:space="preserve">]’s acts or omissions, the trademark no longer identifies the source of the goods but rather identifies the goods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themselves</w:t>
      </w:r>
      <w:r w:rsidR="00F3243A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A63521" w:rsidRPr="00732DCB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If your answer is “Yes,” then your foreperson should sign and date the last page of this verdict form. If your answer is “No,” then go to </w:t>
      </w:r>
      <w:r w:rsidR="00F3243A" w:rsidRPr="00F3243A">
        <w:rPr>
          <w:rFonts w:ascii="Times New Roman" w:hAnsi="Times New Roman" w:cs="Times New Roman"/>
          <w:sz w:val="28"/>
          <w:szCs w:val="28"/>
        </w:rPr>
        <w:t>the special interrogatories on Remedies in either the jury charges for Infringement of Registered Trademark or Infringement of an Unregistered Trademark</w:t>
      </w:r>
      <w:r w:rsidR="00F3243A" w:rsidRPr="00F3243A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]</w:t>
      </w:r>
    </w:p>
    <w:p w:rsidR="00A63521" w:rsidRPr="00732DCB" w:rsidRDefault="00A63521" w:rsidP="009342AB">
      <w:pPr>
        <w:spacing w:after="24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[Use these special interrogatories if defendant has asserted a counterclaim for cancellation of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 w:rsidRPr="00C85C87">
        <w:rPr>
          <w:rFonts w:ascii="Times New Roman" w:eastAsia="Arial" w:hAnsi="Times New Roman" w:cs="Times New Roman"/>
          <w:b/>
          <w:sz w:val="28"/>
          <w:szCs w:val="28"/>
        </w:rPr>
        <w:t>’s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registered trademark registration on the basis that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abandoned the trademark</w:t>
      </w:r>
      <w:r w:rsidR="005F40D0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A63521" w:rsidRPr="004A2EDD" w:rsidRDefault="00A63521" w:rsidP="009342A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9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7" w:author="Author" w:original="9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has abandoned [his/her/its] trademark</w:t>
      </w:r>
      <w:r w:rsidR="00923B89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68169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5F40D0" w:rsidRDefault="00A63521" w:rsidP="00AC3803">
      <w:pPr>
        <w:pStyle w:val="00BodyText5"/>
        <w:spacing w:line="480" w:lineRule="auto"/>
      </w:pPr>
      <w:r w:rsidRPr="00681690">
        <w:rPr>
          <w:rFonts w:eastAsia="Arial" w:cs="Times New Roman"/>
          <w:sz w:val="28"/>
          <w:szCs w:val="28"/>
        </w:rPr>
        <w:t>If your answer is “</w:t>
      </w:r>
      <w:r>
        <w:rPr>
          <w:rFonts w:eastAsia="Arial" w:cs="Times New Roman"/>
          <w:sz w:val="28"/>
          <w:szCs w:val="28"/>
        </w:rPr>
        <w:t>Yes</w:t>
      </w:r>
      <w:r w:rsidRPr="00681690">
        <w:rPr>
          <w:rFonts w:eastAsia="Arial" w:cs="Times New Roman"/>
          <w:sz w:val="28"/>
          <w:szCs w:val="28"/>
        </w:rPr>
        <w:t xml:space="preserve">,” </w:t>
      </w:r>
      <w:r>
        <w:rPr>
          <w:rFonts w:eastAsia="Arial" w:cs="Times New Roman"/>
          <w:sz w:val="28"/>
          <w:szCs w:val="28"/>
        </w:rPr>
        <w:t>then your foreperson should sign and date the last page of this verdict form.</w:t>
      </w:r>
      <w:r w:rsidR="005F40D0" w:rsidRPr="005F40D0">
        <w:rPr>
          <w:rFonts w:eastAsia="Arial" w:cs="Times New Roman"/>
          <w:sz w:val="28"/>
          <w:szCs w:val="28"/>
        </w:rPr>
        <w:t xml:space="preserve">  </w:t>
      </w:r>
      <w:r w:rsidR="005F40D0" w:rsidRPr="005F40D0">
        <w:rPr>
          <w:rFonts w:eastAsia="Calibri" w:cs="Times New Roman"/>
          <w:sz w:val="28"/>
          <w:szCs w:val="28"/>
        </w:rPr>
        <w:t>If your answer is “No,” then go to the special interrogatories on Remedies in either the jury charges for Infringement of Registered Trademark or Infringement of an Unregistered Trademark.</w:t>
      </w:r>
      <w:r w:rsidR="002B6FA0">
        <w:rPr>
          <w:rFonts w:eastAsia="Calibri" w:cs="Times New Roman"/>
          <w:sz w:val="28"/>
          <w:szCs w:val="28"/>
        </w:rPr>
        <w:t>]</w:t>
      </w:r>
    </w:p>
    <w:p w:rsidR="005F40D0" w:rsidRPr="00AC3803" w:rsidRDefault="005F40D0" w:rsidP="005F40D0">
      <w:pPr>
        <w:keepNext/>
        <w:widowControl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803">
        <w:rPr>
          <w:rFonts w:ascii="Times New Roman" w:eastAsia="Calibri" w:hAnsi="Times New Roman" w:cs="Times New Roman"/>
          <w:b/>
          <w:sz w:val="28"/>
          <w:szCs w:val="28"/>
        </w:rPr>
        <w:t>[Use these special interrogatories if defendant asserts prior use under 15 U.S.C. § 1065</w:t>
      </w:r>
      <w:r w:rsidR="00923B89">
        <w:rPr>
          <w:rFonts w:ascii="Times New Roman" w:eastAsia="Calibri" w:hAnsi="Times New Roman" w:cs="Times New Roman"/>
          <w:b/>
          <w:sz w:val="28"/>
          <w:szCs w:val="28"/>
        </w:rPr>
        <w:t xml:space="preserve"> and plaintiff owns an incontestable registration</w:t>
      </w:r>
      <w:r w:rsidRPr="00AC380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40D0" w:rsidRPr="005F40D0" w:rsidRDefault="005F40D0" w:rsidP="002B6FA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40D0">
        <w:rPr>
          <w:rFonts w:ascii="Times New Roman" w:eastAsia="Arial" w:hAnsi="Times New Roman" w:cs="Times New Roman"/>
          <w:sz w:val="28"/>
          <w:szCs w:val="28"/>
        </w:rPr>
        <w:t xml:space="preserve">10. </w:t>
      </w:r>
      <w:r w:rsidRPr="00AC3803">
        <w:rPr>
          <w:rFonts w:ascii="Times New Roman" w:eastAsia="Arial" w:hAnsi="Times New Roman" w:cs="Times New Roman"/>
          <w:sz w:val="28"/>
          <w:szCs w:val="28"/>
        </w:rPr>
        <w:t>[Name of defendant] has used its mark in a particular geographic area since prior to the [name of plaintiff]’s use of its mark</w:t>
      </w:r>
      <w:r w:rsidR="00923B89">
        <w:rPr>
          <w:rFonts w:ascii="Times New Roman" w:eastAsia="Arial" w:hAnsi="Times New Roman" w:cs="Times New Roman"/>
          <w:sz w:val="28"/>
          <w:szCs w:val="28"/>
        </w:rPr>
        <w:t>?</w:t>
      </w:r>
    </w:p>
    <w:p w:rsidR="00A63521" w:rsidRPr="002B6FA0" w:rsidRDefault="00A63521" w:rsidP="009342A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F40D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5F40D0">
        <w:rPr>
          <w:rFonts w:ascii="Times New Roman" w:eastAsia="Arial" w:hAnsi="Times New Roman" w:cs="Times New Roman"/>
          <w:sz w:val="28"/>
          <w:szCs w:val="28"/>
        </w:rPr>
        <w:tab/>
      </w:r>
      <w:r w:rsidRPr="005F40D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5F40D0" w:rsidRPr="002B6FA0" w:rsidRDefault="005F40D0" w:rsidP="00AC3803">
      <w:pPr>
        <w:pStyle w:val="00BodyText5"/>
        <w:spacing w:line="480" w:lineRule="auto"/>
        <w:rPr>
          <w:rFonts w:eastAsia="Arial" w:cs="Times New Roman"/>
          <w:sz w:val="28"/>
          <w:szCs w:val="28"/>
        </w:rPr>
      </w:pPr>
      <w:r w:rsidRPr="002B6FA0">
        <w:rPr>
          <w:rFonts w:eastAsia="Arial" w:cs="Times New Roman"/>
          <w:sz w:val="28"/>
          <w:szCs w:val="28"/>
        </w:rPr>
        <w:t xml:space="preserve">If your answer is “Yes,” then go to the next question.  </w:t>
      </w:r>
      <w:r w:rsidRPr="00AC3803">
        <w:rPr>
          <w:rFonts w:eastAsia="Arial" w:cs="Times New Roman"/>
          <w:sz w:val="28"/>
          <w:szCs w:val="28"/>
        </w:rPr>
        <w:t xml:space="preserve">If your answer is “No,” </w:t>
      </w:r>
      <w:r w:rsidR="00923B89">
        <w:rPr>
          <w:rFonts w:eastAsia="Arial" w:cs="Times New Roman"/>
          <w:sz w:val="28"/>
          <w:szCs w:val="28"/>
        </w:rPr>
        <w:t xml:space="preserve">then go to the special </w:t>
      </w:r>
      <w:r w:rsidR="00923B89" w:rsidRPr="005F40D0">
        <w:rPr>
          <w:rFonts w:eastAsia="Calibri" w:cs="Times New Roman"/>
          <w:sz w:val="28"/>
          <w:szCs w:val="28"/>
        </w:rPr>
        <w:t xml:space="preserve">interrogatories on Remedies in either the jury charges </w:t>
      </w:r>
      <w:r w:rsidR="00923B89" w:rsidRPr="005F40D0">
        <w:rPr>
          <w:rFonts w:eastAsia="Calibri" w:cs="Times New Roman"/>
          <w:sz w:val="28"/>
          <w:szCs w:val="28"/>
        </w:rPr>
        <w:lastRenderedPageBreak/>
        <w:t>for Infringement of Registered Trademark or Infringement of an Unregistered Trademark</w:t>
      </w:r>
      <w:r w:rsidRPr="00AC3803">
        <w:rPr>
          <w:rFonts w:eastAsia="Arial" w:cs="Times New Roman"/>
          <w:sz w:val="28"/>
          <w:szCs w:val="28"/>
        </w:rPr>
        <w:t>.</w:t>
      </w:r>
    </w:p>
    <w:p w:rsidR="005F40D0" w:rsidRDefault="005F40D0" w:rsidP="00AC3803">
      <w:pPr>
        <w:spacing w:after="0" w:line="480" w:lineRule="auto"/>
        <w:ind w:right="720" w:firstLine="720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2B6FA0">
        <w:rPr>
          <w:rFonts w:ascii="Times New Roman" w:eastAsia="Arial" w:hAnsi="Times New Roman" w:cs="Times New Roman"/>
          <w:sz w:val="28"/>
          <w:szCs w:val="28"/>
        </w:rPr>
        <w:t>11. [Name of defendant]’s use of its mark has been continuous in that geographic area</w:t>
      </w:r>
      <w:r w:rsidR="00923B89">
        <w:rPr>
          <w:rFonts w:ascii="Times New Roman" w:eastAsia="Arial" w:hAnsi="Times New Roman" w:cs="Times New Roman"/>
          <w:sz w:val="28"/>
          <w:szCs w:val="28"/>
        </w:rPr>
        <w:t>?</w:t>
      </w:r>
    </w:p>
    <w:p w:rsidR="005F40D0" w:rsidRPr="00E6655B" w:rsidRDefault="002B6FA0" w:rsidP="005F40D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5F40D0" w:rsidRDefault="005F40D0" w:rsidP="00AC3803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E6655B">
        <w:rPr>
          <w:rFonts w:eastAsia="Arial" w:cs="Times New Roman"/>
          <w:sz w:val="28"/>
          <w:szCs w:val="28"/>
        </w:rPr>
        <w:t xml:space="preserve">If your answer is “Yes,” </w:t>
      </w:r>
      <w:r w:rsidRPr="00E6655B">
        <w:rPr>
          <w:rFonts w:eastAsia="Calibri" w:cs="Times New Roman"/>
          <w:sz w:val="28"/>
          <w:szCs w:val="28"/>
        </w:rPr>
        <w:t>your foreperson should sign and date the last page of this verdict form.</w:t>
      </w:r>
      <w:r>
        <w:rPr>
          <w:rFonts w:eastAsia="Calibri" w:cs="Times New Roman"/>
          <w:sz w:val="28"/>
          <w:szCs w:val="28"/>
        </w:rPr>
        <w:t xml:space="preserve">  If your answer is “No,” then go to</w:t>
      </w:r>
      <w:r w:rsidR="00923B89" w:rsidRPr="00923B89">
        <w:rPr>
          <w:rFonts w:eastAsia="Arial" w:cs="Times New Roman"/>
          <w:sz w:val="28"/>
          <w:szCs w:val="28"/>
        </w:rPr>
        <w:t xml:space="preserve"> </w:t>
      </w:r>
      <w:r w:rsidR="00923B89">
        <w:rPr>
          <w:rFonts w:eastAsia="Arial" w:cs="Times New Roman"/>
          <w:sz w:val="28"/>
          <w:szCs w:val="28"/>
        </w:rPr>
        <w:t xml:space="preserve">the special </w:t>
      </w:r>
      <w:r w:rsidR="00923B89" w:rsidRPr="005F40D0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="00923B89" w:rsidRPr="00D832E3">
        <w:rPr>
          <w:rFonts w:eastAsia="Arial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]</w:t>
      </w:r>
    </w:p>
    <w:p w:rsidR="005F40D0" w:rsidRPr="00AC3803" w:rsidRDefault="005F40D0" w:rsidP="00AC3803">
      <w:pPr>
        <w:keepNext/>
        <w:widowControl/>
        <w:spacing w:after="24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C3803">
        <w:rPr>
          <w:rFonts w:ascii="Times New Roman" w:eastAsia="Calibri" w:hAnsi="Times New Roman" w:cs="Times New Roman"/>
          <w:b/>
          <w:sz w:val="28"/>
          <w:szCs w:val="28"/>
        </w:rPr>
        <w:t>[Use these special interrogatories if defendant asserts prior use under 15 U.S.C. § 1115(b</w:t>
      </w:r>
      <w:proofErr w:type="gramStart"/>
      <w:r w:rsidRPr="00AC3803">
        <w:rPr>
          <w:rFonts w:ascii="Times New Roman" w:eastAsia="Calibri" w:hAnsi="Times New Roman" w:cs="Times New Roman"/>
          <w:b/>
          <w:sz w:val="28"/>
          <w:szCs w:val="28"/>
        </w:rPr>
        <w:t>)(</w:t>
      </w:r>
      <w:proofErr w:type="gramEnd"/>
      <w:r w:rsidRPr="00AC3803">
        <w:rPr>
          <w:rFonts w:ascii="Times New Roman" w:eastAsia="Calibri" w:hAnsi="Times New Roman" w:cs="Times New Roman"/>
          <w:b/>
          <w:sz w:val="28"/>
          <w:szCs w:val="28"/>
        </w:rPr>
        <w:t>5):</w:t>
      </w:r>
    </w:p>
    <w:p w:rsidR="005F40D0" w:rsidRPr="00AC3803" w:rsidRDefault="005F40D0" w:rsidP="00AC380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6FA0">
        <w:rPr>
          <w:rFonts w:ascii="Times New Roman" w:eastAsia="Arial" w:hAnsi="Times New Roman" w:cs="Times New Roman"/>
          <w:sz w:val="28"/>
          <w:szCs w:val="28"/>
        </w:rPr>
        <w:t xml:space="preserve">12. </w:t>
      </w:r>
      <w:r w:rsidRPr="00AC3803">
        <w:rPr>
          <w:rFonts w:ascii="Times New Roman" w:eastAsia="Arial" w:hAnsi="Times New Roman" w:cs="Times New Roman"/>
          <w:sz w:val="28"/>
          <w:szCs w:val="28"/>
        </w:rPr>
        <w:t>[Name of defendant] has used its mark in a particular geographic area since prior to the [name of plaintiff]’s registration of its mark</w:t>
      </w:r>
      <w:r w:rsidR="00923B89">
        <w:rPr>
          <w:rFonts w:ascii="Times New Roman" w:eastAsia="Arial" w:hAnsi="Times New Roman" w:cs="Times New Roman"/>
          <w:sz w:val="28"/>
          <w:szCs w:val="28"/>
        </w:rPr>
        <w:t>?</w:t>
      </w:r>
    </w:p>
    <w:p w:rsidR="002B6FA0" w:rsidRPr="002B6FA0" w:rsidRDefault="002B6FA0" w:rsidP="002B6FA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B6FA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2B6FA0">
        <w:rPr>
          <w:rFonts w:ascii="Times New Roman" w:eastAsia="Arial" w:hAnsi="Times New Roman" w:cs="Times New Roman"/>
          <w:sz w:val="28"/>
          <w:szCs w:val="28"/>
        </w:rPr>
        <w:tab/>
      </w:r>
      <w:r w:rsidRPr="002B6FA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2B6FA0" w:rsidRDefault="002B6FA0" w:rsidP="00AC3803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2B6FA0">
        <w:rPr>
          <w:rFonts w:eastAsia="Arial" w:cs="Times New Roman"/>
          <w:sz w:val="28"/>
          <w:szCs w:val="28"/>
        </w:rPr>
        <w:t xml:space="preserve">If your answer is “Yes,” then go to the next question.  </w:t>
      </w:r>
      <w:r w:rsidRPr="002B6FA0">
        <w:rPr>
          <w:rFonts w:eastAsia="Calibri" w:cs="Times New Roman"/>
          <w:sz w:val="28"/>
          <w:szCs w:val="28"/>
        </w:rPr>
        <w:t xml:space="preserve">If your answer is “No,” </w:t>
      </w:r>
      <w:r w:rsidR="00923B89">
        <w:rPr>
          <w:rFonts w:eastAsia="Calibri" w:cs="Times New Roman"/>
          <w:sz w:val="28"/>
          <w:szCs w:val="28"/>
        </w:rPr>
        <w:t>then go to</w:t>
      </w:r>
      <w:r w:rsidR="00923B89" w:rsidRPr="00923B89">
        <w:rPr>
          <w:rFonts w:eastAsia="Arial" w:cs="Times New Roman"/>
          <w:sz w:val="28"/>
          <w:szCs w:val="28"/>
        </w:rPr>
        <w:t xml:space="preserve"> </w:t>
      </w:r>
      <w:r w:rsidR="00923B89">
        <w:rPr>
          <w:rFonts w:eastAsia="Arial" w:cs="Times New Roman"/>
          <w:sz w:val="28"/>
          <w:szCs w:val="28"/>
        </w:rPr>
        <w:t xml:space="preserve">the special </w:t>
      </w:r>
      <w:r w:rsidR="00923B89" w:rsidRPr="005F40D0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="00923B89" w:rsidRPr="00D832E3">
        <w:rPr>
          <w:rFonts w:eastAsia="Arial" w:cs="Times New Roman"/>
          <w:sz w:val="28"/>
          <w:szCs w:val="28"/>
        </w:rPr>
        <w:t>.</w:t>
      </w:r>
    </w:p>
    <w:p w:rsidR="002B6FA0" w:rsidRPr="00AC3803" w:rsidRDefault="002B6FA0" w:rsidP="002B6FA0">
      <w:pPr>
        <w:pStyle w:val="00BodyText5"/>
        <w:rPr>
          <w:rFonts w:eastAsia="Century Gothic" w:cs="Times New Roman"/>
          <w:sz w:val="28"/>
          <w:szCs w:val="28"/>
        </w:rPr>
      </w:pPr>
      <w:r w:rsidRPr="002B6FA0">
        <w:rPr>
          <w:rFonts w:eastAsia="Calibri" w:cs="Times New Roman"/>
          <w:sz w:val="28"/>
          <w:szCs w:val="28"/>
        </w:rPr>
        <w:t xml:space="preserve">13. </w:t>
      </w:r>
      <w:r w:rsidRPr="00AC3803">
        <w:rPr>
          <w:rFonts w:eastAsia="Century Gothic" w:cs="Times New Roman"/>
          <w:sz w:val="28"/>
          <w:szCs w:val="28"/>
        </w:rPr>
        <w:t>[</w:t>
      </w:r>
      <w:r w:rsidRPr="00AC3803">
        <w:rPr>
          <w:rFonts w:eastAsia="Century Gothic" w:cs="Times New Roman"/>
          <w:sz w:val="28"/>
          <w:szCs w:val="28"/>
          <w:u w:val="single"/>
        </w:rPr>
        <w:t>Name of defendant</w:t>
      </w:r>
      <w:r w:rsidRPr="00AC3803">
        <w:rPr>
          <w:rFonts w:eastAsia="Century Gothic" w:cs="Times New Roman"/>
          <w:sz w:val="28"/>
          <w:szCs w:val="28"/>
        </w:rPr>
        <w:t>]’s use of its mark has been continuous in that that</w:t>
      </w:r>
      <w:r w:rsidRPr="00AC3803">
        <w:rPr>
          <w:rFonts w:eastAsia="Century Gothic" w:cs="Times New Roman"/>
          <w:sz w:val="28"/>
          <w:szCs w:val="28"/>
          <w:u w:color="231F20"/>
        </w:rPr>
        <w:t xml:space="preserve"> geographic area</w:t>
      </w:r>
      <w:r w:rsidR="00923B89">
        <w:rPr>
          <w:rFonts w:eastAsia="Century Gothic" w:cs="Times New Roman"/>
          <w:sz w:val="28"/>
          <w:szCs w:val="28"/>
        </w:rPr>
        <w:t>?</w:t>
      </w:r>
    </w:p>
    <w:p w:rsidR="002B6FA0" w:rsidRPr="002B6FA0" w:rsidRDefault="002B6FA0" w:rsidP="002B6FA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B6FA0">
        <w:rPr>
          <w:rFonts w:ascii="Times New Roman" w:eastAsia="Arial" w:hAnsi="Times New Roman" w:cs="Times New Roman"/>
          <w:sz w:val="28"/>
          <w:szCs w:val="28"/>
        </w:rPr>
        <w:lastRenderedPageBreak/>
        <w:t>Answer Yes or No</w:t>
      </w:r>
      <w:r w:rsidRPr="002B6FA0">
        <w:rPr>
          <w:rFonts w:ascii="Times New Roman" w:eastAsia="Arial" w:hAnsi="Times New Roman" w:cs="Times New Roman"/>
          <w:sz w:val="28"/>
          <w:szCs w:val="28"/>
        </w:rPr>
        <w:tab/>
      </w:r>
      <w:r w:rsidRPr="002B6FA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2B6FA0" w:rsidRDefault="002B6FA0" w:rsidP="00AC3803">
      <w:pPr>
        <w:pStyle w:val="00BodyText5"/>
        <w:spacing w:line="480" w:lineRule="auto"/>
        <w:rPr>
          <w:rFonts w:eastAsia="Calibri" w:cs="Times New Roman"/>
          <w:sz w:val="28"/>
          <w:szCs w:val="28"/>
        </w:rPr>
      </w:pPr>
      <w:r w:rsidRPr="00E6655B">
        <w:rPr>
          <w:rFonts w:eastAsia="Arial" w:cs="Times New Roman"/>
          <w:sz w:val="28"/>
          <w:szCs w:val="28"/>
        </w:rPr>
        <w:t xml:space="preserve">If your answer is “Yes,” then go to the next question.  </w:t>
      </w:r>
      <w:r w:rsidRPr="00E6655B">
        <w:rPr>
          <w:rFonts w:eastAsia="Calibri" w:cs="Times New Roman"/>
          <w:sz w:val="28"/>
          <w:szCs w:val="28"/>
        </w:rPr>
        <w:t xml:space="preserve">If your answer is “No,” </w:t>
      </w:r>
      <w:r w:rsidR="00923B89">
        <w:rPr>
          <w:rFonts w:eastAsia="Calibri" w:cs="Times New Roman"/>
          <w:sz w:val="28"/>
          <w:szCs w:val="28"/>
        </w:rPr>
        <w:t>then go to</w:t>
      </w:r>
      <w:r w:rsidR="00923B89" w:rsidRPr="00923B89">
        <w:rPr>
          <w:rFonts w:eastAsia="Arial" w:cs="Times New Roman"/>
          <w:sz w:val="28"/>
          <w:szCs w:val="28"/>
        </w:rPr>
        <w:t xml:space="preserve"> </w:t>
      </w:r>
      <w:r w:rsidR="00923B89">
        <w:rPr>
          <w:rFonts w:eastAsia="Arial" w:cs="Times New Roman"/>
          <w:sz w:val="28"/>
          <w:szCs w:val="28"/>
        </w:rPr>
        <w:t xml:space="preserve">the special </w:t>
      </w:r>
      <w:r w:rsidR="00923B89" w:rsidRPr="005F40D0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="00923B89" w:rsidRPr="00D832E3">
        <w:rPr>
          <w:rFonts w:eastAsia="Arial" w:cs="Times New Roman"/>
          <w:sz w:val="28"/>
          <w:szCs w:val="28"/>
        </w:rPr>
        <w:t>.</w:t>
      </w:r>
    </w:p>
    <w:p w:rsidR="002B6FA0" w:rsidRPr="00AC3803" w:rsidRDefault="002B6FA0" w:rsidP="00AC3803">
      <w:pPr>
        <w:pStyle w:val="00BodyText5"/>
        <w:ind w:firstLine="0"/>
        <w:rPr>
          <w:sz w:val="28"/>
          <w:szCs w:val="28"/>
        </w:rPr>
      </w:pPr>
      <w:r w:rsidRPr="002B6FA0">
        <w:rPr>
          <w:rFonts w:eastAsia="Calibri" w:cs="Times New Roman"/>
          <w:sz w:val="28"/>
          <w:szCs w:val="28"/>
        </w:rPr>
        <w:t xml:space="preserve">14. </w:t>
      </w:r>
      <w:r w:rsidRPr="00AC3803">
        <w:rPr>
          <w:sz w:val="28"/>
          <w:szCs w:val="28"/>
        </w:rPr>
        <w:t>[</w:t>
      </w:r>
      <w:r w:rsidRPr="00AC3803">
        <w:rPr>
          <w:sz w:val="28"/>
          <w:szCs w:val="28"/>
          <w:u w:val="single"/>
        </w:rPr>
        <w:t>Name of defendant</w:t>
      </w:r>
      <w:r w:rsidRPr="00AC3803">
        <w:rPr>
          <w:sz w:val="28"/>
          <w:szCs w:val="28"/>
        </w:rPr>
        <w:t>] adopted its mark without knowledge of [</w:t>
      </w:r>
      <w:r w:rsidRPr="00AC3803">
        <w:rPr>
          <w:sz w:val="28"/>
          <w:szCs w:val="28"/>
          <w:u w:val="single"/>
        </w:rPr>
        <w:t>name of plaintiff</w:t>
      </w:r>
      <w:r w:rsidRPr="00AC3803">
        <w:rPr>
          <w:sz w:val="28"/>
          <w:szCs w:val="28"/>
        </w:rPr>
        <w:t>]’s use of its mark</w:t>
      </w:r>
      <w:r w:rsidR="00923B89">
        <w:rPr>
          <w:sz w:val="28"/>
          <w:szCs w:val="28"/>
        </w:rPr>
        <w:t>?</w:t>
      </w:r>
    </w:p>
    <w:p w:rsidR="002B6FA0" w:rsidRPr="002B6FA0" w:rsidRDefault="002B6FA0" w:rsidP="002B6FA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B6FA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2B6FA0">
        <w:rPr>
          <w:rFonts w:ascii="Times New Roman" w:eastAsia="Arial" w:hAnsi="Times New Roman" w:cs="Times New Roman"/>
          <w:sz w:val="28"/>
          <w:szCs w:val="28"/>
        </w:rPr>
        <w:tab/>
      </w:r>
      <w:r w:rsidRPr="002B6FA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5F40D0" w:rsidRPr="005F40D0" w:rsidRDefault="002B6FA0" w:rsidP="00AC3803">
      <w:pPr>
        <w:spacing w:after="0" w:line="480" w:lineRule="auto"/>
        <w:rPr>
          <w:rFonts w:ascii="Times New Roman" w:eastAsia="Arial" w:hAnsi="Times New Roman" w:cs="Times New Roman"/>
          <w:sz w:val="28"/>
          <w:szCs w:val="28"/>
        </w:rPr>
      </w:pPr>
      <w:r w:rsidRPr="00E6655B">
        <w:rPr>
          <w:rFonts w:eastAsia="Arial" w:cs="Times New Roman"/>
          <w:sz w:val="28"/>
          <w:szCs w:val="28"/>
        </w:rPr>
        <w:t xml:space="preserve">If your answer is “Yes,” </w:t>
      </w:r>
      <w:r w:rsidRPr="00E6655B">
        <w:rPr>
          <w:rFonts w:eastAsia="Calibri" w:cs="Times New Roman"/>
          <w:sz w:val="28"/>
          <w:szCs w:val="28"/>
        </w:rPr>
        <w:t>your foreperson should sign and date the last page of this verdict form.</w:t>
      </w:r>
      <w:r w:rsidR="00923B89">
        <w:rPr>
          <w:rFonts w:eastAsia="Calibri" w:cs="Times New Roman"/>
          <w:sz w:val="28"/>
          <w:szCs w:val="28"/>
        </w:rPr>
        <w:t xml:space="preserve">  </w:t>
      </w:r>
      <w:r w:rsidR="00923B89" w:rsidRPr="00E6655B">
        <w:rPr>
          <w:rFonts w:eastAsia="Calibri" w:cs="Times New Roman"/>
          <w:sz w:val="28"/>
          <w:szCs w:val="28"/>
        </w:rPr>
        <w:t xml:space="preserve">If your answer is “No,” </w:t>
      </w:r>
      <w:r w:rsidR="00923B89">
        <w:rPr>
          <w:rFonts w:eastAsia="Calibri" w:cs="Times New Roman"/>
          <w:sz w:val="28"/>
          <w:szCs w:val="28"/>
        </w:rPr>
        <w:t>then go to</w:t>
      </w:r>
      <w:r w:rsidR="00923B89" w:rsidRPr="00923B89">
        <w:rPr>
          <w:rFonts w:eastAsia="Arial" w:cs="Times New Roman"/>
          <w:sz w:val="28"/>
          <w:szCs w:val="28"/>
        </w:rPr>
        <w:t xml:space="preserve"> </w:t>
      </w:r>
      <w:r w:rsidR="00923B89">
        <w:rPr>
          <w:rFonts w:eastAsia="Arial" w:cs="Times New Roman"/>
          <w:sz w:val="28"/>
          <w:szCs w:val="28"/>
        </w:rPr>
        <w:t xml:space="preserve">the special </w:t>
      </w:r>
      <w:r w:rsidR="00923B89" w:rsidRPr="005F40D0">
        <w:rPr>
          <w:rFonts w:eastAsia="Calibri" w:cs="Times New Roman"/>
          <w:sz w:val="28"/>
          <w:szCs w:val="28"/>
        </w:rPr>
        <w:t>interrogatories on Remedies in either the jury charges for Infringement of Registered Trademark or Infringement of an Unregistered Trademark</w:t>
      </w:r>
      <w:r w:rsidR="00923B89" w:rsidRPr="00D832E3">
        <w:rPr>
          <w:rFonts w:eastAsia="Arial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]</w:t>
      </w:r>
    </w:p>
    <w:p w:rsidR="00A63521" w:rsidRPr="00681690" w:rsidRDefault="00A63521" w:rsidP="009342A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So Say We All.</w:t>
      </w:r>
    </w:p>
    <w:p w:rsidR="00A63521" w:rsidRPr="00681690" w:rsidRDefault="00A63521" w:rsidP="009342AB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A63521" w:rsidRPr="00681690" w:rsidRDefault="00A63521" w:rsidP="009342AB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ED5EDE" w:rsidRPr="007103D5" w:rsidRDefault="00A63521" w:rsidP="009342A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sectPr w:rsidR="00ED5EDE" w:rsidRPr="007103D5" w:rsidSect="006F69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0" w:rsidRDefault="005F40D0" w:rsidP="00391C7F">
      <w:pPr>
        <w:spacing w:after="0" w:line="240" w:lineRule="auto"/>
      </w:pPr>
      <w:r>
        <w:separator/>
      </w:r>
    </w:p>
  </w:endnote>
  <w:endnote w:type="continuationSeparator" w:id="0">
    <w:p w:rsidR="005F40D0" w:rsidRDefault="005F40D0" w:rsidP="003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0" w:rsidRDefault="005F40D0" w:rsidP="00391C7F">
      <w:pPr>
        <w:spacing w:after="0" w:line="240" w:lineRule="auto"/>
      </w:pPr>
      <w:r>
        <w:separator/>
      </w:r>
    </w:p>
  </w:footnote>
  <w:footnote w:type="continuationSeparator" w:id="0">
    <w:p w:rsidR="005F40D0" w:rsidRDefault="005F40D0" w:rsidP="0039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5EA"/>
    <w:multiLevelType w:val="hybridMultilevel"/>
    <w:tmpl w:val="FDCC1C08"/>
    <w:lvl w:ilvl="0" w:tplc="D8944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3E66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E0AA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2806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425C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CFE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E8A2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F26B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0E5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D6554"/>
    <w:multiLevelType w:val="multilevel"/>
    <w:tmpl w:val="EFB6B11E"/>
    <w:name w:val="General Numbering (1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aps w:val="0"/>
        <w:color w:val="010000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decimal"/>
      <w:pStyle w:val="Heading4"/>
      <w:lvlText w:val="%4."/>
      <w:lvlJc w:val="left"/>
      <w:pPr>
        <w:ind w:left="720" w:hanging="720"/>
      </w:pPr>
      <w:rPr>
        <w:rFonts w:hint="default"/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ind w:left="0" w:firstLine="1440"/>
      </w:pPr>
      <w:rPr>
        <w:rFonts w:hint="default"/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3">
    <w:nsid w:val="53C56736"/>
    <w:multiLevelType w:val="hybridMultilevel"/>
    <w:tmpl w:val="BD5ACC06"/>
    <w:lvl w:ilvl="0" w:tplc="09461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343C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4CBB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08EE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CAF5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7C40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CABE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C87B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86A0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5518DE"/>
    <w:multiLevelType w:val="hybridMultilevel"/>
    <w:tmpl w:val="3AF05A66"/>
    <w:lvl w:ilvl="0" w:tplc="7D62B6E2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70E0B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4C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28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06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0B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A6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E8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AD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175B4"/>
    <w:rsid w:val="000555A2"/>
    <w:rsid w:val="000562CA"/>
    <w:rsid w:val="00063534"/>
    <w:rsid w:val="000B1606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B6FA0"/>
    <w:rsid w:val="002E6AD9"/>
    <w:rsid w:val="0031667F"/>
    <w:rsid w:val="00352377"/>
    <w:rsid w:val="00375DD7"/>
    <w:rsid w:val="00391C7F"/>
    <w:rsid w:val="003A4957"/>
    <w:rsid w:val="003E5B6F"/>
    <w:rsid w:val="004409F8"/>
    <w:rsid w:val="004441EE"/>
    <w:rsid w:val="00473804"/>
    <w:rsid w:val="0047530E"/>
    <w:rsid w:val="00496486"/>
    <w:rsid w:val="004A301A"/>
    <w:rsid w:val="004E17C0"/>
    <w:rsid w:val="005F40D0"/>
    <w:rsid w:val="00620C71"/>
    <w:rsid w:val="00652BA3"/>
    <w:rsid w:val="00660EC4"/>
    <w:rsid w:val="0068701A"/>
    <w:rsid w:val="006A2BE2"/>
    <w:rsid w:val="006B2CC1"/>
    <w:rsid w:val="006F5DE4"/>
    <w:rsid w:val="006F6988"/>
    <w:rsid w:val="007103D5"/>
    <w:rsid w:val="00715AFE"/>
    <w:rsid w:val="00725167"/>
    <w:rsid w:val="00735A93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C48B1"/>
    <w:rsid w:val="008D5E40"/>
    <w:rsid w:val="00901158"/>
    <w:rsid w:val="00923B89"/>
    <w:rsid w:val="009342AB"/>
    <w:rsid w:val="009845A2"/>
    <w:rsid w:val="00984B4A"/>
    <w:rsid w:val="00A04EEA"/>
    <w:rsid w:val="00A610D9"/>
    <w:rsid w:val="00A63521"/>
    <w:rsid w:val="00A71689"/>
    <w:rsid w:val="00AC3803"/>
    <w:rsid w:val="00AC65D9"/>
    <w:rsid w:val="00AD0927"/>
    <w:rsid w:val="00B25770"/>
    <w:rsid w:val="00B4168B"/>
    <w:rsid w:val="00B56D1B"/>
    <w:rsid w:val="00B845B3"/>
    <w:rsid w:val="00B966EE"/>
    <w:rsid w:val="00B96A5D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3243A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5F40D0"/>
    <w:pPr>
      <w:widowControl/>
      <w:numPr>
        <w:numId w:val="4"/>
      </w:numPr>
      <w:spacing w:after="240" w:line="240" w:lineRule="auto"/>
      <w:outlineLvl w:val="0"/>
    </w:pPr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40D0"/>
    <w:pPr>
      <w:widowControl/>
      <w:numPr>
        <w:ilvl w:val="1"/>
        <w:numId w:val="4"/>
      </w:numPr>
      <w:spacing w:after="240" w:line="240" w:lineRule="auto"/>
      <w:outlineLvl w:val="1"/>
    </w:pPr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40D0"/>
    <w:pPr>
      <w:widowControl/>
      <w:numPr>
        <w:ilvl w:val="2"/>
        <w:numId w:val="4"/>
      </w:numPr>
      <w:spacing w:after="240" w:line="240" w:lineRule="auto"/>
      <w:outlineLvl w:val="2"/>
    </w:pPr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F40D0"/>
    <w:pPr>
      <w:widowControl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F40D0"/>
    <w:pPr>
      <w:widowControl/>
      <w:numPr>
        <w:ilvl w:val="4"/>
        <w:numId w:val="4"/>
      </w:numPr>
      <w:spacing w:after="240" w:line="240" w:lineRule="auto"/>
      <w:outlineLvl w:val="4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F40D0"/>
    <w:pPr>
      <w:widowControl/>
      <w:numPr>
        <w:ilvl w:val="5"/>
        <w:numId w:val="4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40D0"/>
    <w:pPr>
      <w:widowControl/>
      <w:numPr>
        <w:ilvl w:val="6"/>
        <w:numId w:val="4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40D0"/>
    <w:pPr>
      <w:widowControl/>
      <w:numPr>
        <w:ilvl w:val="7"/>
        <w:numId w:val="4"/>
      </w:numPr>
      <w:spacing w:after="240" w:line="240" w:lineRule="auto"/>
      <w:outlineLvl w:val="7"/>
    </w:pPr>
    <w:rPr>
      <w:rFonts w:ascii="Times New Roman" w:eastAsiaTheme="majorEastAsia" w:hAnsi="Times New Roman" w:cs="Times New Roman"/>
      <w:color w:val="000000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40D0"/>
    <w:pPr>
      <w:widowControl/>
      <w:numPr>
        <w:ilvl w:val="8"/>
        <w:numId w:val="4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F"/>
  </w:style>
  <w:style w:type="paragraph" w:styleId="Footer">
    <w:name w:val="footer"/>
    <w:basedOn w:val="Normal"/>
    <w:link w:val="Foot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F"/>
  </w:style>
  <w:style w:type="paragraph" w:customStyle="1" w:styleId="00BodyText5">
    <w:name w:val="00 Body Text .5"/>
    <w:basedOn w:val="Normal"/>
    <w:qFormat/>
    <w:rsid w:val="00375DD7"/>
    <w:pPr>
      <w:widowControl/>
      <w:spacing w:after="24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00BulletList">
    <w:name w:val="00 Bullet List"/>
    <w:basedOn w:val="Normal"/>
    <w:qFormat/>
    <w:rsid w:val="00375DD7"/>
    <w:pPr>
      <w:widowControl/>
      <w:numPr>
        <w:numId w:val="1"/>
      </w:num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7"/>
    <w:rPr>
      <w:rFonts w:ascii="Tahoma" w:hAnsi="Tahoma" w:cs="Tahoma"/>
      <w:sz w:val="16"/>
      <w:szCs w:val="16"/>
    </w:rPr>
  </w:style>
  <w:style w:type="paragraph" w:customStyle="1" w:styleId="00TitleC">
    <w:name w:val="00 Title C"/>
    <w:basedOn w:val="Normal"/>
    <w:qFormat/>
    <w:rsid w:val="00F3243A"/>
    <w:pPr>
      <w:keepNext/>
      <w:widowControl/>
      <w:spacing w:after="24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40D0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F40D0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40D0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40D0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F40D0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F40D0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F40D0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F40D0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40D0"/>
    <w:rPr>
      <w:rFonts w:ascii="Times New Roman" w:eastAsiaTheme="majorEastAsia" w:hAnsi="Times New Roman" w:cs="Times New Roman"/>
      <w:iCs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5F40D0"/>
    <w:pPr>
      <w:widowControl/>
      <w:numPr>
        <w:numId w:val="4"/>
      </w:numPr>
      <w:spacing w:after="240" w:line="240" w:lineRule="auto"/>
      <w:outlineLvl w:val="0"/>
    </w:pPr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40D0"/>
    <w:pPr>
      <w:widowControl/>
      <w:numPr>
        <w:ilvl w:val="1"/>
        <w:numId w:val="4"/>
      </w:numPr>
      <w:spacing w:after="240" w:line="240" w:lineRule="auto"/>
      <w:outlineLvl w:val="1"/>
    </w:pPr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40D0"/>
    <w:pPr>
      <w:widowControl/>
      <w:numPr>
        <w:ilvl w:val="2"/>
        <w:numId w:val="4"/>
      </w:numPr>
      <w:spacing w:after="240" w:line="240" w:lineRule="auto"/>
      <w:outlineLvl w:val="2"/>
    </w:pPr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F40D0"/>
    <w:pPr>
      <w:widowControl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F40D0"/>
    <w:pPr>
      <w:widowControl/>
      <w:numPr>
        <w:ilvl w:val="4"/>
        <w:numId w:val="4"/>
      </w:numPr>
      <w:spacing w:after="240" w:line="240" w:lineRule="auto"/>
      <w:outlineLvl w:val="4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F40D0"/>
    <w:pPr>
      <w:widowControl/>
      <w:numPr>
        <w:ilvl w:val="5"/>
        <w:numId w:val="4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40D0"/>
    <w:pPr>
      <w:widowControl/>
      <w:numPr>
        <w:ilvl w:val="6"/>
        <w:numId w:val="4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40D0"/>
    <w:pPr>
      <w:widowControl/>
      <w:numPr>
        <w:ilvl w:val="7"/>
        <w:numId w:val="4"/>
      </w:numPr>
      <w:spacing w:after="240" w:line="240" w:lineRule="auto"/>
      <w:outlineLvl w:val="7"/>
    </w:pPr>
    <w:rPr>
      <w:rFonts w:ascii="Times New Roman" w:eastAsiaTheme="majorEastAsia" w:hAnsi="Times New Roman" w:cs="Times New Roman"/>
      <w:color w:val="000000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40D0"/>
    <w:pPr>
      <w:widowControl/>
      <w:numPr>
        <w:ilvl w:val="8"/>
        <w:numId w:val="4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F"/>
  </w:style>
  <w:style w:type="paragraph" w:styleId="Footer">
    <w:name w:val="footer"/>
    <w:basedOn w:val="Normal"/>
    <w:link w:val="FooterChar"/>
    <w:uiPriority w:val="99"/>
    <w:unhideWhenUsed/>
    <w:rsid w:val="0039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F"/>
  </w:style>
  <w:style w:type="paragraph" w:customStyle="1" w:styleId="00BodyText5">
    <w:name w:val="00 Body Text .5"/>
    <w:basedOn w:val="Normal"/>
    <w:qFormat/>
    <w:rsid w:val="00375DD7"/>
    <w:pPr>
      <w:widowControl/>
      <w:spacing w:after="24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00BulletList">
    <w:name w:val="00 Bullet List"/>
    <w:basedOn w:val="Normal"/>
    <w:qFormat/>
    <w:rsid w:val="00375DD7"/>
    <w:pPr>
      <w:widowControl/>
      <w:numPr>
        <w:numId w:val="1"/>
      </w:num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7"/>
    <w:rPr>
      <w:rFonts w:ascii="Tahoma" w:hAnsi="Tahoma" w:cs="Tahoma"/>
      <w:sz w:val="16"/>
      <w:szCs w:val="16"/>
    </w:rPr>
  </w:style>
  <w:style w:type="paragraph" w:customStyle="1" w:styleId="00TitleC">
    <w:name w:val="00 Title C"/>
    <w:basedOn w:val="Normal"/>
    <w:qFormat/>
    <w:rsid w:val="00F3243A"/>
    <w:pPr>
      <w:keepNext/>
      <w:widowControl/>
      <w:spacing w:after="24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40D0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F40D0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40D0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40D0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F40D0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F40D0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F40D0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F40D0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40D0"/>
    <w:rPr>
      <w:rFonts w:ascii="Times New Roman" w:eastAsiaTheme="majorEastAsia" w:hAnsi="Times New Roman" w:cs="Times New Roman"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79AB-8563-40C9-B722-70E4C2D1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2017-08-23T14:20:00Z</dcterms:created>
  <dcterms:modified xsi:type="dcterms:W3CDTF">2017-08-23T14:20:00Z</dcterms:modified>
</cp:coreProperties>
</file>