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4B" w:rsidRPr="00681690" w:rsidRDefault="00735E4B" w:rsidP="00447EAA">
      <w:pPr>
        <w:spacing w:after="240" w:line="240" w:lineRule="auto"/>
        <w:jc w:val="both"/>
        <w:rPr>
          <w:rFonts w:ascii="Times New Roman" w:eastAsia="Arial" w:hAnsi="Times New Roman" w:cs="Times New Roman"/>
          <w:sz w:val="26"/>
          <w:szCs w:val="26"/>
        </w:rPr>
      </w:pPr>
      <w:bookmarkStart w:id="0" w:name="_GoBack"/>
      <w:bookmarkEnd w:id="0"/>
      <w:r w:rsidRPr="00681690">
        <w:rPr>
          <w:rFonts w:ascii="Times New Roman" w:eastAsia="Arial" w:hAnsi="Times New Roman" w:cs="Times New Roman"/>
          <w:b/>
          <w:sz w:val="26"/>
          <w:szCs w:val="26"/>
          <w:u w:val="single"/>
        </w:rPr>
        <w:t>ANNOTATIONS AND COMMENTS</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registration on the Principal Register that is less than five years old may be cancelled on any ground or grounds that would have prevented the registration’s issuance in the first place, which are set forth in Sections 1, 2, and 14 of the Lanham Act. </w:t>
      </w:r>
      <w:r>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15 U.S.C. §§ 1051, 1052, 1064 (20</w:t>
      </w:r>
      <w:r w:rsidR="00830A14">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and </w:t>
      </w:r>
      <w:r>
        <w:rPr>
          <w:rFonts w:ascii="Times New Roman" w:eastAsia="Times New Roman" w:hAnsi="Times New Roman" w:cs="Times New Roman"/>
          <w:i/>
          <w:sz w:val="26"/>
          <w:szCs w:val="26"/>
        </w:rPr>
        <w:t>Int’l Order of Job’s Daughters v. Lindeburg &amp; Co.</w:t>
      </w:r>
      <w:r>
        <w:rPr>
          <w:rFonts w:ascii="Times New Roman" w:eastAsia="Times New Roman" w:hAnsi="Times New Roman" w:cs="Times New Roman"/>
          <w:sz w:val="26"/>
          <w:szCs w:val="26"/>
        </w:rPr>
        <w:t>, 727 F.2d 1087, 1091 (Fed. Cir. 1984). Immediately upon the registration’s fifth anniversary of issuance, however, it may be cancelled only on the limited grounds set forth in Section 14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1" w:author="Author" w:original="(3)"/>
        </w:fldChar>
      </w:r>
      <w:r>
        <w:rPr>
          <w:rFonts w:ascii="Times New Roman" w:eastAsia="Times New Roman" w:hAnsi="Times New Roman" w:cs="Times New Roman"/>
          <w:sz w:val="26"/>
          <w:szCs w:val="26"/>
        </w:rPr>
        <w:t xml:space="preserve"> of the Lanham Act, regardless of whether the plaintiff has filed a declaration or affidavit of incontestability for its registration. 15 U.S.C.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2" w:author="Author" w:original="(3)"/>
        </w:fldChar>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See Imperial Tobacco Ltd. v. Philip Morris, Inc.</w:t>
      </w:r>
      <w:r>
        <w:rPr>
          <w:rFonts w:ascii="Times New Roman" w:eastAsia="Times New Roman" w:hAnsi="Times New Roman" w:cs="Times New Roman"/>
          <w:sz w:val="26"/>
          <w:szCs w:val="26"/>
        </w:rPr>
        <w:t xml:space="preserve">, 899 F.2d 1575, 1579 n.5 (Fed. Cir. 1990); </w:t>
      </w:r>
      <w:r>
        <w:rPr>
          <w:rFonts w:ascii="Times New Roman" w:eastAsia="Times New Roman" w:hAnsi="Times New Roman" w:cs="Times New Roman"/>
          <w:i/>
          <w:sz w:val="26"/>
          <w:szCs w:val="26"/>
        </w:rPr>
        <w:t>Wallpaper Mfrs., Ltd. v. Crown Wallcovering Corp.</w:t>
      </w:r>
      <w:r>
        <w:rPr>
          <w:rFonts w:ascii="Times New Roman" w:eastAsia="Times New Roman" w:hAnsi="Times New Roman" w:cs="Times New Roman"/>
          <w:sz w:val="26"/>
          <w:szCs w:val="26"/>
        </w:rPr>
        <w:t>, 680 F.2d 755, 761 n.6 (C.C.P.A. 1981). When discussing grounds for cancellation, the annotations and comments to these instructions therefore indicate if particular grounds are available if the registration in question has reached its fifth anniversary of issuance. Also, this instruction may be modified if the trademark at issue is a service mark, certification mark, or trade dress.</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Certain grounds for cancellation correspond to the prerequisites for trademark validity in the first instance, and invalidation of a registration based on them necessarily invalidates any rights to the registered trademark as well. Some of these same grounds are also expressly recognized as affirmative defenses to the evidentiary presumption of validity attaching to a federal registration under Section 33</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2 </w:instrText>
      </w:r>
      <w:r>
        <w:rPr>
          <w:rFonts w:ascii="Times New Roman" w:eastAsia="Times New Roman" w:hAnsi="Times New Roman" w:cs="Times New Roman"/>
          <w:sz w:val="26"/>
          <w:szCs w:val="26"/>
        </w:rPr>
        <w:fldChar w:fldCharType="end">
          <w:numberingChange w:id="3" w:author="Author" w:original="(b)"/>
        </w:fldChar>
      </w:r>
      <w:r>
        <w:rPr>
          <w:rFonts w:ascii="Times New Roman" w:eastAsia="Times New Roman" w:hAnsi="Times New Roman" w:cs="Times New Roman"/>
          <w:sz w:val="26"/>
          <w:szCs w:val="26"/>
        </w:rPr>
        <w:t xml:space="preserve"> of the Lanham Act, but, if they result in the registration’s invalidation, there is no need to address them in that context. 15 U.S.C. § 1115</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2 </w:instrText>
      </w:r>
      <w:r>
        <w:rPr>
          <w:rFonts w:ascii="Times New Roman" w:eastAsia="Times New Roman" w:hAnsi="Times New Roman" w:cs="Times New Roman"/>
          <w:sz w:val="26"/>
          <w:szCs w:val="26"/>
        </w:rPr>
        <w:fldChar w:fldCharType="end">
          <w:numberingChange w:id="4" w:author="Author" w:original="(b)"/>
        </w:fldChar>
      </w:r>
      <w:r>
        <w:rPr>
          <w:rFonts w:ascii="Times New Roman" w:eastAsia="Times New Roman" w:hAnsi="Times New Roman" w:cs="Times New Roman"/>
          <w:sz w:val="26"/>
          <w:szCs w:val="26"/>
        </w:rPr>
        <w:t>.</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contrast, certain other grounds for cancellation, even if proven, will </w:t>
      </w:r>
      <w:r>
        <w:rPr>
          <w:rFonts w:ascii="Times New Roman" w:eastAsia="Times New Roman" w:hAnsi="Times New Roman" w:cs="Times New Roman"/>
          <w:i/>
          <w:sz w:val="26"/>
          <w:szCs w:val="26"/>
        </w:rPr>
        <w:t>not</w:t>
      </w:r>
      <w:r>
        <w:rPr>
          <w:rFonts w:ascii="Times New Roman" w:eastAsia="Times New Roman" w:hAnsi="Times New Roman" w:cs="Times New Roman"/>
          <w:sz w:val="26"/>
          <w:szCs w:val="26"/>
        </w:rPr>
        <w:t xml:space="preserve"> result in the invalidation of the underlying trademark, and it is therefore possible for the plaintiff to prove that it has rights to the trademark independent of the registration. These instructions therefore contemplate that a jury invalidating the plaintiff’s registration on one of the grounds falling into this category will need to conduct the same inquiry into the validity of the </w:t>
      </w:r>
      <w:r w:rsidR="00830A14">
        <w:rPr>
          <w:rFonts w:ascii="Times New Roman" w:eastAsia="Times New Roman" w:hAnsi="Times New Roman" w:cs="Times New Roman"/>
          <w:sz w:val="26"/>
          <w:szCs w:val="26"/>
        </w:rPr>
        <w:t>p</w:t>
      </w:r>
      <w:r>
        <w:rPr>
          <w:rFonts w:ascii="Times New Roman" w:eastAsia="Times New Roman" w:hAnsi="Times New Roman" w:cs="Times New Roman"/>
          <w:sz w:val="26"/>
          <w:szCs w:val="26"/>
        </w:rPr>
        <w:t xml:space="preserve">laintiff’s trademark as if the </w:t>
      </w:r>
      <w:r w:rsidR="00830A14">
        <w:rPr>
          <w:rFonts w:ascii="Times New Roman" w:eastAsia="Times New Roman" w:hAnsi="Times New Roman" w:cs="Times New Roman"/>
          <w:sz w:val="26"/>
          <w:szCs w:val="26"/>
        </w:rPr>
        <w:t>p</w:t>
      </w:r>
      <w:r>
        <w:rPr>
          <w:rFonts w:ascii="Times New Roman" w:eastAsia="Times New Roman" w:hAnsi="Times New Roman" w:cs="Times New Roman"/>
          <w:sz w:val="26"/>
          <w:szCs w:val="26"/>
        </w:rPr>
        <w:t>laintiff never had a registration.</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Finally, certain of what otherwise are grounds for cancellation will be trumped by the trademark’s acquisition of distinctiveness, or “secondary meaning,” prior to the registration’s issuance. These instructions therefore distinguish between grounds to which a showing of acquired distinctiveness is relevant and those to which it is not. Where the former are concerned, the factors set forth </w:t>
      </w:r>
      <w:r w:rsidR="00830A14">
        <w:rPr>
          <w:rFonts w:ascii="Times New Roman" w:eastAsia="Times New Roman" w:hAnsi="Times New Roman" w:cs="Times New Roman"/>
          <w:sz w:val="26"/>
          <w:szCs w:val="26"/>
        </w:rPr>
        <w:t xml:space="preserve">for </w:t>
      </w:r>
      <w:r>
        <w:rPr>
          <w:rFonts w:ascii="Times New Roman" w:eastAsia="Times New Roman" w:hAnsi="Times New Roman" w:cs="Times New Roman"/>
          <w:sz w:val="26"/>
          <w:szCs w:val="26"/>
        </w:rPr>
        <w:t xml:space="preserve">consideration in the acquired distinctiveness inquiry are drawn from </w:t>
      </w:r>
      <w:r w:rsidR="00830A14" w:rsidRPr="00830A14">
        <w:rPr>
          <w:rFonts w:ascii="Times New Roman" w:eastAsia="Calibri" w:hAnsi="Times New Roman" w:cs="Times New Roman"/>
          <w:i/>
          <w:sz w:val="26"/>
          <w:szCs w:val="26"/>
        </w:rPr>
        <w:t>Tartell v. S. Fla. Sinus &amp; Allergy Ctr.</w:t>
      </w:r>
      <w:r w:rsidR="00830A14" w:rsidRPr="00830A14">
        <w:rPr>
          <w:rFonts w:ascii="Times New Roman" w:eastAsia="Calibri" w:hAnsi="Times New Roman" w:cs="Times New Roman"/>
          <w:sz w:val="26"/>
          <w:szCs w:val="26"/>
        </w:rPr>
        <w:t>, 790 F.3d 1253, 1257 (11th Cir. 2015);</w:t>
      </w:r>
      <w:r w:rsidR="00830A14" w:rsidRPr="00830A14">
        <w:rPr>
          <w:rFonts w:ascii="Times New Roman" w:eastAsia="Calibri" w:hAnsi="Times New Roman" w:cs="Times New Roman"/>
          <w:i/>
          <w:sz w:val="26"/>
          <w:szCs w:val="26"/>
        </w:rPr>
        <w:t xml:space="preserve"> </w:t>
      </w:r>
      <w:r>
        <w:rPr>
          <w:rFonts w:ascii="Times New Roman" w:eastAsia="Times New Roman" w:hAnsi="Times New Roman" w:cs="Times New Roman"/>
          <w:i/>
          <w:sz w:val="26"/>
          <w:szCs w:val="26"/>
        </w:rPr>
        <w:t>Knights Armament Co. v. Optical Sys. Tech., Inc.</w:t>
      </w:r>
      <w:r>
        <w:rPr>
          <w:rFonts w:ascii="Times New Roman" w:eastAsia="Times New Roman" w:hAnsi="Times New Roman" w:cs="Times New Roman"/>
          <w:sz w:val="26"/>
          <w:szCs w:val="26"/>
        </w:rPr>
        <w:t>, 654 F.3d 1179, 1</w:t>
      </w:r>
      <w:r w:rsidR="006C4DCA">
        <w:rPr>
          <w:rFonts w:ascii="Times New Roman" w:eastAsia="Times New Roman" w:hAnsi="Times New Roman" w:cs="Times New Roman"/>
          <w:sz w:val="26"/>
          <w:szCs w:val="26"/>
        </w:rPr>
        <w:t>1</w:t>
      </w:r>
      <w:r>
        <w:rPr>
          <w:rFonts w:ascii="Times New Roman" w:eastAsia="Times New Roman" w:hAnsi="Times New Roman" w:cs="Times New Roman"/>
          <w:sz w:val="26"/>
          <w:szCs w:val="26"/>
        </w:rPr>
        <w:t>89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2011)</w:t>
      </w:r>
      <w:r w:rsidR="00830A1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 xml:space="preserve">Am. Television &amp; Commc’ns Corp. v. Am. Commc’ns </w:t>
      </w:r>
      <w:r w:rsidR="006C4DCA">
        <w:rPr>
          <w:rFonts w:ascii="Times New Roman" w:eastAsia="Times New Roman" w:hAnsi="Times New Roman" w:cs="Times New Roman"/>
          <w:i/>
          <w:sz w:val="26"/>
          <w:szCs w:val="26"/>
        </w:rPr>
        <w:t>&amp;</w:t>
      </w:r>
      <w:r>
        <w:rPr>
          <w:rFonts w:ascii="Times New Roman" w:eastAsia="Times New Roman" w:hAnsi="Times New Roman" w:cs="Times New Roman"/>
          <w:i/>
          <w:sz w:val="26"/>
          <w:szCs w:val="26"/>
        </w:rPr>
        <w:t xml:space="preserve"> Television, Inc.</w:t>
      </w:r>
      <w:r>
        <w:rPr>
          <w:rFonts w:ascii="Times New Roman" w:eastAsia="Times New Roman" w:hAnsi="Times New Roman" w:cs="Times New Roman"/>
          <w:sz w:val="26"/>
          <w:szCs w:val="26"/>
        </w:rPr>
        <w:t>, 810 F.2d 1546, 1549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1987)</w:t>
      </w:r>
      <w:r w:rsidR="00830A1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Conagra, Inc. v. Singleton</w:t>
      </w:r>
      <w:r>
        <w:rPr>
          <w:rFonts w:ascii="Times New Roman" w:eastAsia="Times New Roman" w:hAnsi="Times New Roman" w:cs="Times New Roman"/>
          <w:sz w:val="26"/>
          <w:szCs w:val="26"/>
        </w:rPr>
        <w:t>, 743 F.2d 1508, 1513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1984)</w:t>
      </w:r>
      <w:r w:rsidR="00830A1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w:t>
      </w:r>
      <w:r>
        <w:rPr>
          <w:rFonts w:ascii="Times New Roman" w:eastAsia="Times New Roman" w:hAnsi="Times New Roman" w:cs="Times New Roman"/>
          <w:i/>
          <w:sz w:val="26"/>
          <w:szCs w:val="26"/>
        </w:rPr>
        <w:t>Brooks Shoe Mfg. Co. v. Suave Shoe Corp.</w:t>
      </w:r>
      <w:r>
        <w:rPr>
          <w:rFonts w:ascii="Times New Roman" w:eastAsia="Times New Roman" w:hAnsi="Times New Roman" w:cs="Times New Roman"/>
          <w:sz w:val="26"/>
          <w:szCs w:val="26"/>
        </w:rPr>
        <w:t>, 716 F.2d 854, 860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1983). Under Sections 1</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1 </w:instrText>
      </w:r>
      <w:r>
        <w:rPr>
          <w:rFonts w:ascii="Times New Roman" w:eastAsia="Times New Roman" w:hAnsi="Times New Roman" w:cs="Times New Roman"/>
          <w:sz w:val="26"/>
          <w:szCs w:val="26"/>
        </w:rPr>
        <w:fldChar w:fldCharType="end">
          <w:numberingChange w:id="5" w:author="Author" w:original="(a)"/>
        </w:fldChar>
      </w:r>
      <w:r>
        <w:rPr>
          <w:rFonts w:ascii="Times New Roman" w:eastAsia="Times New Roman" w:hAnsi="Times New Roman" w:cs="Times New Roman"/>
          <w:sz w:val="26"/>
          <w:szCs w:val="26"/>
        </w:rPr>
        <w:t>-</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2 </w:instrText>
      </w:r>
      <w:r>
        <w:rPr>
          <w:rFonts w:ascii="Times New Roman" w:eastAsia="Times New Roman" w:hAnsi="Times New Roman" w:cs="Times New Roman"/>
          <w:sz w:val="26"/>
          <w:szCs w:val="26"/>
        </w:rPr>
        <w:fldChar w:fldCharType="end">
          <w:numberingChange w:id="6" w:author="Author" w:original="(b)"/>
        </w:fldChar>
      </w:r>
      <w:r>
        <w:rPr>
          <w:rFonts w:ascii="Times New Roman" w:eastAsia="Times New Roman" w:hAnsi="Times New Roman" w:cs="Times New Roman"/>
          <w:sz w:val="26"/>
          <w:szCs w:val="26"/>
        </w:rPr>
        <w:t xml:space="preserve"> of the Lanham Act, use in commerce is a prerequisite for the registration of a trademark owned by a United States </w:t>
      </w:r>
      <w:r>
        <w:rPr>
          <w:rFonts w:ascii="Times New Roman" w:eastAsia="Times New Roman" w:hAnsi="Times New Roman" w:cs="Times New Roman"/>
          <w:sz w:val="26"/>
          <w:szCs w:val="26"/>
        </w:rPr>
        <w:lastRenderedPageBreak/>
        <w:t xml:space="preserve">domiciliary. 15 U.S.C. § 1051 </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1 </w:instrText>
      </w:r>
      <w:r>
        <w:rPr>
          <w:rFonts w:ascii="Times New Roman" w:eastAsia="Times New Roman" w:hAnsi="Times New Roman" w:cs="Times New Roman"/>
          <w:sz w:val="26"/>
          <w:szCs w:val="26"/>
        </w:rPr>
        <w:fldChar w:fldCharType="end">
          <w:numberingChange w:id="7" w:author="Author" w:original="(a)"/>
        </w:fldChar>
      </w:r>
      <w:r>
        <w:rPr>
          <w:rFonts w:ascii="Times New Roman" w:eastAsia="Times New Roman" w:hAnsi="Times New Roman" w:cs="Times New Roman"/>
          <w:sz w:val="26"/>
          <w:szCs w:val="26"/>
        </w:rPr>
        <w:t>-</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2 </w:instrText>
      </w:r>
      <w:r>
        <w:rPr>
          <w:rFonts w:ascii="Times New Roman" w:eastAsia="Times New Roman" w:hAnsi="Times New Roman" w:cs="Times New Roman"/>
          <w:sz w:val="26"/>
          <w:szCs w:val="26"/>
        </w:rPr>
        <w:fldChar w:fldCharType="end">
          <w:numberingChange w:id="8" w:author="Author" w:original="(b)"/>
        </w:fldChar>
      </w:r>
      <w:r>
        <w:rPr>
          <w:rFonts w:ascii="Times New Roman" w:eastAsia="Times New Roman" w:hAnsi="Times New Roman" w:cs="Times New Roman"/>
          <w:sz w:val="26"/>
          <w:szCs w:val="26"/>
        </w:rPr>
        <w:t xml:space="preserve"> (20</w:t>
      </w:r>
      <w:r w:rsidR="00830A14">
        <w:rPr>
          <w:rFonts w:ascii="Times New Roman" w:eastAsia="Times New Roman" w:hAnsi="Times New Roman" w:cs="Times New Roman"/>
          <w:sz w:val="26"/>
          <w:szCs w:val="26"/>
        </w:rPr>
        <w:t>12</w:t>
      </w:r>
      <w:r>
        <w:rPr>
          <w:rFonts w:ascii="Times New Roman" w:eastAsia="Times New Roman" w:hAnsi="Times New Roman" w:cs="Times New Roman"/>
          <w:sz w:val="26"/>
          <w:szCs w:val="26"/>
        </w:rPr>
        <w:t>). The statutory basis of this ground for cancellation is Section 14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1 </w:instrText>
      </w:r>
      <w:r>
        <w:rPr>
          <w:rFonts w:ascii="Times New Roman" w:eastAsia="Times New Roman" w:hAnsi="Times New Roman" w:cs="Times New Roman"/>
          <w:sz w:val="26"/>
          <w:szCs w:val="26"/>
        </w:rPr>
        <w:fldChar w:fldCharType="end">
          <w:numberingChange w:id="9" w:author="Author" w:original="(1)"/>
        </w:fldChar>
      </w:r>
      <w:r>
        <w:rPr>
          <w:rFonts w:ascii="Times New Roman" w:eastAsia="Times New Roman" w:hAnsi="Times New Roman" w:cs="Times New Roman"/>
          <w:sz w:val="26"/>
          <w:szCs w:val="26"/>
        </w:rPr>
        <w:t xml:space="preserve"> of the Act. </w:t>
      </w:r>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1 </w:instrText>
      </w:r>
      <w:r>
        <w:rPr>
          <w:rFonts w:ascii="Times New Roman" w:eastAsia="Times New Roman" w:hAnsi="Times New Roman" w:cs="Times New Roman"/>
          <w:sz w:val="26"/>
          <w:szCs w:val="26"/>
        </w:rPr>
        <w:fldChar w:fldCharType="end">
          <w:numberingChange w:id="10" w:author="Author" w:original="(1)"/>
        </w:fldChar>
      </w:r>
      <w:r>
        <w:rPr>
          <w:rFonts w:ascii="Times New Roman" w:eastAsia="Times New Roman" w:hAnsi="Times New Roman" w:cs="Times New Roman"/>
          <w:sz w:val="26"/>
          <w:szCs w:val="26"/>
        </w:rPr>
        <w:t xml:space="preserve">. This ground for cancellation may not be asserted against a registration that has reached its fifth anniversary of issuance or against a registration that issued under Section 44 or Section 66 of the Act. </w:t>
      </w:r>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11" w:author="Author" w:original="(3)"/>
        </w:fldChar>
      </w:r>
      <w:r>
        <w:rPr>
          <w:rFonts w:ascii="Times New Roman" w:eastAsia="Times New Roman" w:hAnsi="Times New Roman" w:cs="Times New Roman"/>
          <w:sz w:val="26"/>
          <w:szCs w:val="26"/>
        </w:rPr>
        <w:t>-</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5 </w:instrText>
      </w:r>
      <w:r>
        <w:rPr>
          <w:rFonts w:ascii="Times New Roman" w:eastAsia="Times New Roman" w:hAnsi="Times New Roman" w:cs="Times New Roman"/>
          <w:sz w:val="26"/>
          <w:szCs w:val="26"/>
        </w:rPr>
        <w:fldChar w:fldCharType="end">
          <w:numberingChange w:id="12" w:author="Author" w:original="(5)"/>
        </w:fldChar>
      </w:r>
      <w:r>
        <w:rPr>
          <w:rFonts w:ascii="Times New Roman" w:eastAsia="Times New Roman" w:hAnsi="Times New Roman" w:cs="Times New Roman"/>
          <w:sz w:val="26"/>
          <w:szCs w:val="26"/>
        </w:rPr>
        <w:t>, 1126, 1141</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6 </w:instrText>
      </w:r>
      <w:r>
        <w:rPr>
          <w:rFonts w:ascii="Times New Roman" w:eastAsia="Times New Roman" w:hAnsi="Times New Roman" w:cs="Times New Roman"/>
          <w:sz w:val="26"/>
          <w:szCs w:val="26"/>
        </w:rPr>
        <w:fldChar w:fldCharType="end">
          <w:numberingChange w:id="13" w:author="Author" w:original="(f)"/>
        </w:fldChar>
      </w:r>
      <w:r>
        <w:rPr>
          <w:rFonts w:ascii="Times New Roman" w:eastAsia="Times New Roman" w:hAnsi="Times New Roman" w:cs="Times New Roman"/>
          <w:sz w:val="26"/>
          <w:szCs w:val="26"/>
        </w:rPr>
        <w:t xml:space="preserve">. The existence or nonexistence of acquired distinctiveness, or “secondary meaning,” is irrelevant to this ground for cancellation.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6 </w:instrText>
      </w:r>
      <w:r>
        <w:rPr>
          <w:rFonts w:ascii="Times New Roman" w:eastAsia="Times New Roman" w:hAnsi="Times New Roman" w:cs="Times New Roman"/>
          <w:sz w:val="26"/>
          <w:szCs w:val="26"/>
        </w:rPr>
        <w:fldChar w:fldCharType="end">
          <w:numberingChange w:id="14" w:author="Author" w:original="(f)"/>
        </w:fldChar>
      </w:r>
      <w:r>
        <w:rPr>
          <w:rFonts w:ascii="Times New Roman" w:eastAsia="Times New Roman" w:hAnsi="Times New Roman" w:cs="Times New Roman"/>
          <w:sz w:val="26"/>
          <w:szCs w:val="26"/>
        </w:rPr>
        <w:t>. And a defendant pursuing cancellation therefore need not prove the absence of acquired distinctiveness to prevail.</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Cancellation of a registration on this ground does not prevent the former registrant from establishing rights to its trademark independent of the registration. A jury finding a registration subject to cancellation on this ground therefore should evaluate whether the </w:t>
      </w:r>
      <w:r w:rsidR="00830A14">
        <w:rPr>
          <w:rFonts w:ascii="Times New Roman" w:eastAsia="Times New Roman" w:hAnsi="Times New Roman" w:cs="Times New Roman"/>
          <w:sz w:val="26"/>
          <w:szCs w:val="26"/>
        </w:rPr>
        <w:t>p</w:t>
      </w:r>
      <w:r>
        <w:rPr>
          <w:rFonts w:ascii="Times New Roman" w:eastAsia="Times New Roman" w:hAnsi="Times New Roman" w:cs="Times New Roman"/>
          <w:sz w:val="26"/>
          <w:szCs w:val="26"/>
        </w:rPr>
        <w:t>laintiff otherwise has proven valid rights to its trademark and, if so, when those rights arose.</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definitions of use in commerce bearing on this ground for cancellation are drawn from the statutory definition of use in commerce found in Section 45 of the Lanham Act, as well as from the U.S. Patent and Trademark Office’s internal operating guidelines and, in the case of certification trademarks, the Restatement of Unfair Competition. </w:t>
      </w:r>
      <w:r>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15 U.S.C. § 1127; United States Patent &amp; Trademark Office, </w:t>
      </w:r>
      <w:r>
        <w:rPr>
          <w:rFonts w:ascii="Times New Roman" w:eastAsia="Times New Roman" w:hAnsi="Times New Roman" w:cs="Times New Roman"/>
          <w:i/>
          <w:sz w:val="26"/>
          <w:szCs w:val="26"/>
        </w:rPr>
        <w:t>Trademark Manual of Examining Procedure</w:t>
      </w:r>
      <w:r>
        <w:rPr>
          <w:rFonts w:ascii="Times New Roman" w:eastAsia="Times New Roman" w:hAnsi="Times New Roman" w:cs="Times New Roman"/>
          <w:sz w:val="26"/>
          <w:szCs w:val="26"/>
        </w:rPr>
        <w:t xml:space="preserve"> §§ 1303.01, 1306.01-.03, 1304.08-.09 (2010); </w:t>
      </w:r>
      <w:r w:rsidRPr="008A0AFE">
        <w:rPr>
          <w:rFonts w:ascii="Times New Roman" w:eastAsia="Times New Roman" w:hAnsi="Times New Roman" w:cs="Times New Roman"/>
          <w:smallCaps/>
          <w:sz w:val="26"/>
          <w:szCs w:val="26"/>
        </w:rPr>
        <w:t>Restatement (Third) of Unfair Competition</w:t>
      </w:r>
      <w:r>
        <w:rPr>
          <w:rFonts w:ascii="Times New Roman" w:eastAsia="Times New Roman" w:hAnsi="Times New Roman" w:cs="Times New Roman"/>
          <w:sz w:val="26"/>
          <w:szCs w:val="26"/>
        </w:rPr>
        <w:t xml:space="preserve"> §§ 10-11 (1995). Eleventh Circuit opinions addressing the issue have done so in the context of the extent of use in commerce necessary to create common-law rights, but the underlying principles are the same. </w:t>
      </w:r>
      <w:r>
        <w:rPr>
          <w:rFonts w:ascii="Times New Roman" w:eastAsia="Times New Roman" w:hAnsi="Times New Roman" w:cs="Times New Roman"/>
          <w:i/>
          <w:sz w:val="26"/>
          <w:szCs w:val="26"/>
        </w:rPr>
        <w:t>See, e.g.</w:t>
      </w:r>
      <w:r w:rsidRPr="0002129F">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Planetary Motion, Inc. v. Techplosian, Inc.</w:t>
      </w:r>
      <w:r>
        <w:rPr>
          <w:rFonts w:ascii="Times New Roman" w:eastAsia="Times New Roman" w:hAnsi="Times New Roman" w:cs="Times New Roman"/>
          <w:sz w:val="26"/>
          <w:szCs w:val="26"/>
        </w:rPr>
        <w:t>, 261 F.3d 1188, 1193-2000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2001) (applying statutory definition of use in commerce and holding that nonmonetary transactions can create protectable rights); </w:t>
      </w:r>
      <w:r>
        <w:rPr>
          <w:rFonts w:ascii="Times New Roman" w:eastAsia="Times New Roman" w:hAnsi="Times New Roman" w:cs="Times New Roman"/>
          <w:i/>
          <w:sz w:val="26"/>
          <w:szCs w:val="26"/>
        </w:rPr>
        <w:t>Leigh v. Warner Bros.</w:t>
      </w:r>
      <w:r>
        <w:rPr>
          <w:rFonts w:ascii="Times New Roman" w:eastAsia="Times New Roman" w:hAnsi="Times New Roman" w:cs="Times New Roman"/>
          <w:sz w:val="26"/>
          <w:szCs w:val="26"/>
        </w:rPr>
        <w:t>, 212 F.3d 1210, 1217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2000) (requiring claimed trademark to be used in a manner recognizable as a trademark); </w:t>
      </w:r>
      <w:r>
        <w:rPr>
          <w:rFonts w:ascii="Times New Roman" w:eastAsia="Times New Roman" w:hAnsi="Times New Roman" w:cs="Times New Roman"/>
          <w:i/>
          <w:sz w:val="26"/>
          <w:szCs w:val="26"/>
        </w:rPr>
        <w:t>Geovision, Inc. v. Geovision Corp</w:t>
      </w:r>
      <w:r w:rsidR="006C4DCA">
        <w:rPr>
          <w:rFonts w:ascii="Times New Roman" w:eastAsia="Times New Roman" w:hAnsi="Times New Roman" w:cs="Times New Roman"/>
          <w:i/>
          <w:sz w:val="26"/>
          <w:szCs w:val="26"/>
        </w:rPr>
        <w:t>.</w:t>
      </w:r>
      <w:r>
        <w:rPr>
          <w:rFonts w:ascii="Times New Roman" w:eastAsia="Times New Roman" w:hAnsi="Times New Roman" w:cs="Times New Roman"/>
          <w:sz w:val="26"/>
          <w:szCs w:val="26"/>
        </w:rPr>
        <w:t>, 928 F.2d 387, 388-89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1991) (“[A] mere contract of sale without a product or mark is not within the statutory meaning of a sale.”); </w:t>
      </w:r>
      <w:r>
        <w:rPr>
          <w:rFonts w:ascii="Times New Roman" w:eastAsia="Times New Roman" w:hAnsi="Times New Roman" w:cs="Times New Roman"/>
          <w:i/>
          <w:sz w:val="26"/>
          <w:szCs w:val="26"/>
        </w:rPr>
        <w:t>Blue Bell, Inc. v. Farah Mfg. Co.</w:t>
      </w:r>
      <w:r>
        <w:rPr>
          <w:rFonts w:ascii="Times New Roman" w:eastAsia="Times New Roman" w:hAnsi="Times New Roman" w:cs="Times New Roman"/>
          <w:sz w:val="26"/>
          <w:szCs w:val="26"/>
        </w:rPr>
        <w:t>, 508 F.2d 1260, 1267 (5</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1975) (shipments of goods made only to create or to preserve trademark rights do not qualify as bona-fide uses in commerce).</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definitions of use in commerce bearing on this ground for cancellation depart from the express statutory definition of use in commerce in connection with goods to the extent that that definition fails to require use in interstate commerce or in commerce with a foreign country. </w:t>
      </w:r>
      <w:r>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15 U.S.C. § 1127. That requirement is incorporated into the instruction to maintain consistency with the requirements of trademark use in connection with services.</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Section 5 of the Lanham Act, 15 U.S.C. § 1055 (20</w:t>
      </w:r>
      <w:r w:rsidR="00830A14">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expressly recognizes the ability of a </w:t>
      </w:r>
      <w:r w:rsidR="00830A14">
        <w:rPr>
          <w:rFonts w:ascii="Times New Roman" w:eastAsia="Times New Roman" w:hAnsi="Times New Roman" w:cs="Times New Roman"/>
          <w:sz w:val="26"/>
          <w:szCs w:val="26"/>
        </w:rPr>
        <w:t>p</w:t>
      </w:r>
      <w:r>
        <w:rPr>
          <w:rFonts w:ascii="Times New Roman" w:eastAsia="Times New Roman" w:hAnsi="Times New Roman" w:cs="Times New Roman"/>
          <w:sz w:val="26"/>
          <w:szCs w:val="26"/>
        </w:rPr>
        <w:t xml:space="preserve">laintiff to qualify for registration through the properly licensed use of registered trademark, and this principle has long been recognized by the law of the </w:t>
      </w:r>
      <w:r>
        <w:rPr>
          <w:rFonts w:ascii="Times New Roman" w:eastAsia="Times New Roman" w:hAnsi="Times New Roman" w:cs="Times New Roman"/>
          <w:sz w:val="26"/>
          <w:szCs w:val="26"/>
        </w:rPr>
        <w:lastRenderedPageBreak/>
        <w:t xml:space="preserve">Circuit as well. </w:t>
      </w:r>
      <w:r>
        <w:rPr>
          <w:rFonts w:ascii="Times New Roman" w:eastAsia="Times New Roman" w:hAnsi="Times New Roman" w:cs="Times New Roman"/>
          <w:i/>
          <w:sz w:val="26"/>
          <w:szCs w:val="26"/>
        </w:rPr>
        <w:t>See generally Turner v. H</w:t>
      </w:r>
      <w:r w:rsidR="006C4DCA">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M</w:t>
      </w:r>
      <w:r w:rsidR="006C4DCA">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H Publ’g Co.</w:t>
      </w:r>
      <w:r>
        <w:rPr>
          <w:rFonts w:ascii="Times New Roman" w:eastAsia="Times New Roman" w:hAnsi="Times New Roman" w:cs="Times New Roman"/>
          <w:sz w:val="26"/>
          <w:szCs w:val="26"/>
        </w:rPr>
        <w:t>, 380 F.2d 224, 229 (5</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1967) (affirming validity of licensed service mark); </w:t>
      </w:r>
      <w:r>
        <w:rPr>
          <w:rFonts w:ascii="Times New Roman" w:eastAsia="Times New Roman" w:hAnsi="Times New Roman" w:cs="Times New Roman"/>
          <w:i/>
          <w:sz w:val="26"/>
          <w:szCs w:val="26"/>
        </w:rPr>
        <w:t>see also Planetary Motion, Inc. v. Techspolsion, Inc.</w:t>
      </w:r>
      <w:r>
        <w:rPr>
          <w:rFonts w:ascii="Times New Roman" w:eastAsia="Times New Roman" w:hAnsi="Times New Roman" w:cs="Times New Roman"/>
          <w:sz w:val="26"/>
          <w:szCs w:val="26"/>
        </w:rPr>
        <w:t>, 261 F.3d 1188, 1198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2001) (same); </w:t>
      </w:r>
      <w:r>
        <w:rPr>
          <w:rFonts w:ascii="Times New Roman" w:eastAsia="Times New Roman" w:hAnsi="Times New Roman" w:cs="Times New Roman"/>
          <w:i/>
          <w:sz w:val="26"/>
          <w:szCs w:val="26"/>
        </w:rPr>
        <w:t>Mini Maid Servs. Co. v. Maid Brigade Sys., Inc.</w:t>
      </w:r>
      <w:r>
        <w:rPr>
          <w:rFonts w:ascii="Times New Roman" w:eastAsia="Times New Roman" w:hAnsi="Times New Roman" w:cs="Times New Roman"/>
          <w:sz w:val="26"/>
          <w:szCs w:val="26"/>
        </w:rPr>
        <w:t>, 967 F.2d 1516, 1519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1992) (same); </w:t>
      </w:r>
      <w:r>
        <w:rPr>
          <w:rFonts w:ascii="Times New Roman" w:eastAsia="Times New Roman" w:hAnsi="Times New Roman" w:cs="Times New Roman"/>
          <w:i/>
          <w:sz w:val="26"/>
          <w:szCs w:val="26"/>
        </w:rPr>
        <w:t xml:space="preserve">Prof’l Golfers Ass’n </w:t>
      </w:r>
      <w:r w:rsidR="006C4DCA">
        <w:rPr>
          <w:rFonts w:ascii="Times New Roman" w:eastAsia="Times New Roman" w:hAnsi="Times New Roman" w:cs="Times New Roman"/>
          <w:i/>
          <w:sz w:val="26"/>
          <w:szCs w:val="26"/>
        </w:rPr>
        <w:t xml:space="preserve">of Am. </w:t>
      </w:r>
      <w:r>
        <w:rPr>
          <w:rFonts w:ascii="Times New Roman" w:eastAsia="Times New Roman" w:hAnsi="Times New Roman" w:cs="Times New Roman"/>
          <w:i/>
          <w:sz w:val="26"/>
          <w:szCs w:val="26"/>
        </w:rPr>
        <w:t>v. Bankers Life &amp; Cas. Co.</w:t>
      </w:r>
      <w:r>
        <w:rPr>
          <w:rFonts w:ascii="Times New Roman" w:eastAsia="Times New Roman" w:hAnsi="Times New Roman" w:cs="Times New Roman"/>
          <w:sz w:val="26"/>
          <w:szCs w:val="26"/>
        </w:rPr>
        <w:t>, 514 F.2d 665, 688 (5</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1975) (affirming validity of licensed collective mark).</w:t>
      </w:r>
    </w:p>
    <w:p w:rsidR="00735E4B" w:rsidRPr="00057DD6" w:rsidRDefault="00735E4B" w:rsidP="00447EAA">
      <w:pPr>
        <w:spacing w:after="240" w:line="240" w:lineRule="auto"/>
        <w:ind w:right="-18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Plaintiff lacked a bona-fide intent to use its trademark in commerce at a time the Plaintiff represented to the U.S. Patent and Trademark Office it had such an intent:</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basis of this ground for cancellation is Section 1</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2 </w:instrText>
      </w:r>
      <w:r>
        <w:rPr>
          <w:rFonts w:ascii="Times New Roman" w:eastAsia="Times New Roman" w:hAnsi="Times New Roman" w:cs="Times New Roman"/>
          <w:sz w:val="26"/>
          <w:szCs w:val="26"/>
        </w:rPr>
        <w:fldChar w:fldCharType="end">
          <w:numberingChange w:id="15" w:author="Author" w:original="(b)"/>
        </w:fldChar>
      </w:r>
      <w:r>
        <w:rPr>
          <w:rFonts w:ascii="Times New Roman" w:eastAsia="Times New Roman" w:hAnsi="Times New Roman" w:cs="Times New Roman"/>
          <w:sz w:val="26"/>
          <w:szCs w:val="26"/>
        </w:rPr>
        <w:t xml:space="preserve"> of the federal Lanham Act. 15 U.S.C. § 1051</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2 </w:instrText>
      </w:r>
      <w:r>
        <w:rPr>
          <w:rFonts w:ascii="Times New Roman" w:eastAsia="Times New Roman" w:hAnsi="Times New Roman" w:cs="Times New Roman"/>
          <w:sz w:val="26"/>
          <w:szCs w:val="26"/>
        </w:rPr>
        <w:fldChar w:fldCharType="end">
          <w:numberingChange w:id="16" w:author="Author" w:original="(b)"/>
        </w:fldChar>
      </w:r>
      <w:r>
        <w:rPr>
          <w:rFonts w:ascii="Times New Roman" w:eastAsia="Times New Roman" w:hAnsi="Times New Roman" w:cs="Times New Roman"/>
          <w:sz w:val="26"/>
          <w:szCs w:val="26"/>
        </w:rPr>
        <w:t xml:space="preserve"> (20</w:t>
      </w:r>
      <w:r w:rsidR="00830A14">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It may not be asserted against a registration that has reached its fifth anniversary of issuance.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17" w:author="Author" w:original="(3)"/>
        </w:fldChar>
      </w:r>
      <w:r>
        <w:rPr>
          <w:rFonts w:ascii="Times New Roman" w:eastAsia="Times New Roman" w:hAnsi="Times New Roman" w:cs="Times New Roman"/>
          <w:sz w:val="26"/>
          <w:szCs w:val="26"/>
        </w:rPr>
        <w:t>-</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5 </w:instrText>
      </w:r>
      <w:r>
        <w:rPr>
          <w:rFonts w:ascii="Times New Roman" w:eastAsia="Times New Roman" w:hAnsi="Times New Roman" w:cs="Times New Roman"/>
          <w:sz w:val="26"/>
          <w:szCs w:val="26"/>
        </w:rPr>
        <w:fldChar w:fldCharType="end">
          <w:numberingChange w:id="18" w:author="Author" w:original="(5)"/>
        </w:fldChar>
      </w:r>
      <w:r>
        <w:rPr>
          <w:rFonts w:ascii="Times New Roman" w:eastAsia="Times New Roman" w:hAnsi="Times New Roman" w:cs="Times New Roman"/>
          <w:sz w:val="26"/>
          <w:szCs w:val="26"/>
        </w:rPr>
        <w:t xml:space="preserve">. The existence or nonexistence of acquired distinctiveness, or “secondary meaning,” is irrelevant to this ground for cancellation and a defendant pursuing it therefore need not prove the absence of acquired distinctiveness to prevail.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6 </w:instrText>
      </w:r>
      <w:r>
        <w:rPr>
          <w:rFonts w:ascii="Times New Roman" w:eastAsia="Times New Roman" w:hAnsi="Times New Roman" w:cs="Times New Roman"/>
          <w:sz w:val="26"/>
          <w:szCs w:val="26"/>
        </w:rPr>
        <w:fldChar w:fldCharType="end">
          <w:numberingChange w:id="19" w:author="Author" w:original="(f)"/>
        </w:fldChar>
      </w:r>
      <w:r>
        <w:rPr>
          <w:rFonts w:ascii="Times New Roman" w:eastAsia="Times New Roman" w:hAnsi="Times New Roman" w:cs="Times New Roman"/>
          <w:sz w:val="26"/>
          <w:szCs w:val="26"/>
        </w:rPr>
        <w:t>.</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Cancellation of a registration on this ground does not prevent the former registrant from establishing rights to its trademark independent of the registration. A jury finding a registration subject to cancellation on this ground therefore should evaluate whether the plaintiff otherwise has proven valid rights to its trademark and, if so, when those rights arose.</w:t>
      </w:r>
    </w:p>
    <w:p w:rsidR="00735E4B" w:rsidRPr="00A748B8"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Eleventh Circuit has not addressed the issue of what is necessary for a bona fide intent to use an applied-for trademark, but the Trademark Trial and Appeal Board has held that the inquiry is an objective one that ordinarily requires the applicant to produce documentary evidence predating the application’s filing date. </w:t>
      </w:r>
      <w:r>
        <w:rPr>
          <w:rFonts w:ascii="Times New Roman" w:eastAsia="Times New Roman" w:hAnsi="Times New Roman" w:cs="Times New Roman"/>
          <w:i/>
          <w:sz w:val="26"/>
          <w:szCs w:val="26"/>
        </w:rPr>
        <w:t>See Spirits Int’l B.V. v. S.S. Taris Zeytin Ve Zeytinyagi Tarim satis Kooperatiferi Birligi</w:t>
      </w:r>
      <w:r>
        <w:rPr>
          <w:rFonts w:ascii="Times New Roman" w:eastAsia="Times New Roman" w:hAnsi="Times New Roman" w:cs="Times New Roman"/>
          <w:sz w:val="26"/>
          <w:szCs w:val="26"/>
        </w:rPr>
        <w:t xml:space="preserve">, 99 U.S.P.Q.2d 1545, 1549 (T.T.A.B. 2011); </w:t>
      </w:r>
      <w:r>
        <w:rPr>
          <w:rFonts w:ascii="Times New Roman" w:eastAsia="Times New Roman" w:hAnsi="Times New Roman" w:cs="Times New Roman"/>
          <w:i/>
          <w:sz w:val="26"/>
          <w:szCs w:val="26"/>
        </w:rPr>
        <w:t>SmithKline Beecham Corp. v. Omnisource DDS LLC</w:t>
      </w:r>
      <w:r>
        <w:rPr>
          <w:rFonts w:ascii="Times New Roman" w:eastAsia="Times New Roman" w:hAnsi="Times New Roman" w:cs="Times New Roman"/>
          <w:sz w:val="26"/>
          <w:szCs w:val="26"/>
        </w:rPr>
        <w:t xml:space="preserve">, 97 U.S.P.Q.2d 1300, 1305 (T.T.A.B. 2010); </w:t>
      </w:r>
      <w:r>
        <w:rPr>
          <w:rFonts w:ascii="Times New Roman" w:eastAsia="Times New Roman" w:hAnsi="Times New Roman" w:cs="Times New Roman"/>
          <w:i/>
          <w:sz w:val="26"/>
          <w:szCs w:val="26"/>
        </w:rPr>
        <w:t>see also</w:t>
      </w:r>
      <w:r>
        <w:rPr>
          <w:rFonts w:ascii="Times New Roman" w:eastAsia="Times New Roman" w:hAnsi="Times New Roman" w:cs="Times New Roman"/>
          <w:sz w:val="26"/>
          <w:szCs w:val="26"/>
        </w:rPr>
        <w:t xml:space="preserve"> S. Rep. No. 100-515, at 23 (1988), </w:t>
      </w:r>
      <w:r>
        <w:rPr>
          <w:rFonts w:ascii="Times New Roman" w:eastAsia="Times New Roman" w:hAnsi="Times New Roman" w:cs="Times New Roman"/>
          <w:i/>
          <w:sz w:val="26"/>
          <w:szCs w:val="26"/>
        </w:rPr>
        <w:t>reprinted in</w:t>
      </w:r>
      <w:r>
        <w:rPr>
          <w:rFonts w:ascii="Times New Roman" w:eastAsia="Times New Roman" w:hAnsi="Times New Roman" w:cs="Times New Roman"/>
          <w:sz w:val="26"/>
          <w:szCs w:val="26"/>
        </w:rPr>
        <w:t xml:space="preserve"> 1988 U.S.C.C.A.N. 5577, 5587 (“In connection with the [Lanham Act’s intent-to-use provisions], ‘bona fide’ should be read to mean a fair, objective determination of the applicant’s intent based on all the circumstances.”). Under the Board’s case law: </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1 </w:instrText>
      </w:r>
      <w:r>
        <w:rPr>
          <w:rFonts w:ascii="Times New Roman" w:eastAsia="Times New Roman" w:hAnsi="Times New Roman" w:cs="Times New Roman"/>
          <w:sz w:val="26"/>
          <w:szCs w:val="26"/>
        </w:rPr>
        <w:fldChar w:fldCharType="end">
          <w:numberingChange w:id="20" w:author="Author" w:original="(1)"/>
        </w:fldChar>
      </w:r>
      <w:r>
        <w:rPr>
          <w:rFonts w:ascii="Times New Roman" w:eastAsia="Times New Roman" w:hAnsi="Times New Roman" w:cs="Times New Roman"/>
          <w:sz w:val="26"/>
          <w:szCs w:val="26"/>
        </w:rPr>
        <w:t xml:space="preserve"> the registrant bears an initial burden of producing contemporary documentary evidence of a bona fide intent to use its trademark in connection with the goods and services covered by the application; but, if the registrant satisfies its burden of production, </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2 </w:instrText>
      </w:r>
      <w:r>
        <w:rPr>
          <w:rFonts w:ascii="Times New Roman" w:eastAsia="Times New Roman" w:hAnsi="Times New Roman" w:cs="Times New Roman"/>
          <w:sz w:val="26"/>
          <w:szCs w:val="26"/>
        </w:rPr>
        <w:fldChar w:fldCharType="end">
          <w:numberingChange w:id="21" w:author="Author" w:original="(2)"/>
        </w:fldChar>
      </w:r>
      <w:r>
        <w:rPr>
          <w:rFonts w:ascii="Times New Roman" w:eastAsia="Times New Roman" w:hAnsi="Times New Roman" w:cs="Times New Roman"/>
          <w:sz w:val="26"/>
          <w:szCs w:val="26"/>
        </w:rPr>
        <w:t xml:space="preserve"> the burden of proof reverts to the party challenging the validity of the registration. </w:t>
      </w:r>
      <w:r>
        <w:rPr>
          <w:rFonts w:ascii="Times New Roman" w:eastAsia="Times New Roman" w:hAnsi="Times New Roman" w:cs="Times New Roman"/>
          <w:i/>
          <w:sz w:val="26"/>
          <w:szCs w:val="26"/>
        </w:rPr>
        <w:t>See Boston Red Sox Baseball Club L.P. v. Sherman</w:t>
      </w:r>
      <w:r>
        <w:rPr>
          <w:rFonts w:ascii="Times New Roman" w:eastAsia="Times New Roman" w:hAnsi="Times New Roman" w:cs="Times New Roman"/>
          <w:sz w:val="26"/>
          <w:szCs w:val="26"/>
        </w:rPr>
        <w:t xml:space="preserve">, 88 U.S.P.Q.2d 1581, 1587-88 (T.T.A.B. 2008); </w:t>
      </w:r>
      <w:r>
        <w:rPr>
          <w:rFonts w:ascii="Times New Roman" w:eastAsia="Times New Roman" w:hAnsi="Times New Roman" w:cs="Times New Roman"/>
          <w:i/>
          <w:sz w:val="26"/>
          <w:szCs w:val="26"/>
        </w:rPr>
        <w:t>SmithKline Beecham Corp.</w:t>
      </w:r>
      <w:r>
        <w:rPr>
          <w:rFonts w:ascii="Times New Roman" w:eastAsia="Times New Roman" w:hAnsi="Times New Roman" w:cs="Times New Roman"/>
          <w:sz w:val="26"/>
          <w:szCs w:val="26"/>
        </w:rPr>
        <w:t>, 97 U.S.P.Q.2d at 1305.</w:t>
      </w:r>
    </w:p>
    <w:p w:rsidR="00735E4B" w:rsidRPr="00057DD6" w:rsidRDefault="00735E4B" w:rsidP="00447EAA">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registered trademark is a generic designation for the goods or services covered by the registration:</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basis of this ground for cancellation is Section 14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22" w:author="Author" w:original="(3)"/>
        </w:fldChar>
      </w:r>
      <w:r>
        <w:rPr>
          <w:rFonts w:ascii="Times New Roman" w:eastAsia="Times New Roman" w:hAnsi="Times New Roman" w:cs="Times New Roman"/>
          <w:sz w:val="26"/>
          <w:szCs w:val="26"/>
        </w:rPr>
        <w:t xml:space="preserve"> of the Lanham </w:t>
      </w:r>
      <w:r>
        <w:rPr>
          <w:rFonts w:ascii="Times New Roman" w:eastAsia="Times New Roman" w:hAnsi="Times New Roman" w:cs="Times New Roman"/>
          <w:sz w:val="26"/>
          <w:szCs w:val="26"/>
        </w:rPr>
        <w:lastRenderedPageBreak/>
        <w:t>Act, which also contains the statutory definition of genericness found in the last paragraph of the instruction. 15 U.S.C.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23" w:author="Author" w:original="(3)"/>
        </w:fldChar>
      </w:r>
      <w:r>
        <w:rPr>
          <w:rFonts w:ascii="Times New Roman" w:eastAsia="Times New Roman" w:hAnsi="Times New Roman" w:cs="Times New Roman"/>
          <w:sz w:val="26"/>
          <w:szCs w:val="26"/>
        </w:rPr>
        <w:t xml:space="preserve"> (20</w:t>
      </w:r>
      <w:r w:rsidR="00830A14">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It may be asserted against a registration that has reached the fifth anniversary of its issuance. </w:t>
      </w:r>
      <w:r>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15 U.S.C. § 1064(3). The existence or nonexistence of acquired distinctiveness, or “secondary meaning,” is irrelevant to this ground for cancellation, and a defendant pursuing it therefore need not prove the absence of acquired distinctiveness to prevail.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6 </w:instrText>
      </w:r>
      <w:r>
        <w:rPr>
          <w:rFonts w:ascii="Times New Roman" w:eastAsia="Times New Roman" w:hAnsi="Times New Roman" w:cs="Times New Roman"/>
          <w:sz w:val="26"/>
          <w:szCs w:val="26"/>
        </w:rPr>
        <w:fldChar w:fldCharType="end">
          <w:numberingChange w:id="24" w:author="Author" w:original="(f)"/>
        </w:fldChar>
      </w:r>
      <w:r>
        <w:rPr>
          <w:rFonts w:ascii="Times New Roman" w:eastAsia="Times New Roman" w:hAnsi="Times New Roman" w:cs="Times New Roman"/>
          <w:sz w:val="26"/>
          <w:szCs w:val="26"/>
        </w:rPr>
        <w:t>.</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finding that a registered trademark is generic means that the trademark cannot be protected </w:t>
      </w:r>
      <w:r>
        <w:rPr>
          <w:rFonts w:ascii="Times New Roman" w:eastAsia="Times New Roman" w:hAnsi="Times New Roman" w:cs="Times New Roman"/>
          <w:i/>
          <w:sz w:val="26"/>
          <w:szCs w:val="26"/>
        </w:rPr>
        <w:t>as</w:t>
      </w:r>
      <w:r>
        <w:rPr>
          <w:rFonts w:ascii="Times New Roman" w:eastAsia="Times New Roman" w:hAnsi="Times New Roman" w:cs="Times New Roman"/>
          <w:sz w:val="26"/>
          <w:szCs w:val="26"/>
        </w:rPr>
        <w:t xml:space="preserve"> a trademark, and a jury finding a registration subject to cancellation on this ground therefore should not evaluate whether the plaintiff has proven valid rights to the claimed trademark independent of the registration. </w:t>
      </w:r>
      <w:r>
        <w:rPr>
          <w:rFonts w:ascii="Times New Roman" w:eastAsia="Times New Roman" w:hAnsi="Times New Roman" w:cs="Times New Roman"/>
          <w:i/>
          <w:sz w:val="26"/>
          <w:szCs w:val="26"/>
        </w:rPr>
        <w:t>See Two Pesos, Inc. v. Taco Cabana, Inc.</w:t>
      </w:r>
      <w:r>
        <w:rPr>
          <w:rFonts w:ascii="Times New Roman" w:eastAsia="Times New Roman" w:hAnsi="Times New Roman" w:cs="Times New Roman"/>
          <w:sz w:val="26"/>
          <w:szCs w:val="26"/>
        </w:rPr>
        <w:t xml:space="preserve">, 505 U.S. 763, 768, 112 S. Ct. 2753, 2757, 120 L. Ed. 2d 615 (1992). Under limited circumstances, however, a defendant’s use of a former trademark that has become generic can lead to liability for the tort of passing off. </w:t>
      </w:r>
      <w:r>
        <w:rPr>
          <w:rFonts w:ascii="Times New Roman" w:eastAsia="Times New Roman" w:hAnsi="Times New Roman" w:cs="Times New Roman"/>
          <w:i/>
          <w:sz w:val="26"/>
          <w:szCs w:val="26"/>
        </w:rPr>
        <w:t>See, e.g.</w:t>
      </w:r>
      <w:r w:rsidRPr="0002129F">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Kellogg Co. v. Nat’l Biscuit Co.</w:t>
      </w:r>
      <w:r>
        <w:rPr>
          <w:rFonts w:ascii="Times New Roman" w:eastAsia="Times New Roman" w:hAnsi="Times New Roman" w:cs="Times New Roman"/>
          <w:sz w:val="26"/>
          <w:szCs w:val="26"/>
        </w:rPr>
        <w:t>, 305 U.S. 111, 120, 59 S. Ct. 109, 114, 83 L. Ed. 2d. 73 (1938) (use of a generic designation by a defendant must “be done in a manner which reasonably distinguishes its product from that of a plaintiff”).</w:t>
      </w:r>
    </w:p>
    <w:p w:rsidR="00735E4B" w:rsidRPr="005A6AD7"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examples of generic designations set forth in this instruction are drawn from </w:t>
      </w:r>
      <w:r>
        <w:rPr>
          <w:rFonts w:ascii="Times New Roman" w:eastAsia="Times New Roman" w:hAnsi="Times New Roman" w:cs="Times New Roman"/>
          <w:i/>
          <w:sz w:val="26"/>
          <w:szCs w:val="26"/>
        </w:rPr>
        <w:t>Welding Servs., Inc. v. Forman</w:t>
      </w:r>
      <w:r>
        <w:rPr>
          <w:rFonts w:ascii="Times New Roman" w:eastAsia="Times New Roman" w:hAnsi="Times New Roman" w:cs="Times New Roman"/>
          <w:sz w:val="26"/>
          <w:szCs w:val="26"/>
        </w:rPr>
        <w:t>, 509 F.3d 1351, 1358, 1359 n.4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2007); </w:t>
      </w:r>
      <w:r>
        <w:rPr>
          <w:rFonts w:ascii="Times New Roman" w:eastAsia="Times New Roman" w:hAnsi="Times New Roman" w:cs="Times New Roman"/>
          <w:i/>
          <w:sz w:val="26"/>
          <w:szCs w:val="26"/>
        </w:rPr>
        <w:t>Investacorp, Inc. v. Arabian Inv. Banking Corp. (Investcorp) E.C.</w:t>
      </w:r>
      <w:r>
        <w:rPr>
          <w:rFonts w:ascii="Times New Roman" w:eastAsia="Times New Roman" w:hAnsi="Times New Roman" w:cs="Times New Roman"/>
          <w:sz w:val="26"/>
          <w:szCs w:val="26"/>
        </w:rPr>
        <w:t>, 931 F.2d 1519, 1522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1991); and </w:t>
      </w:r>
      <w:r>
        <w:rPr>
          <w:rFonts w:ascii="Times New Roman" w:eastAsia="Times New Roman" w:hAnsi="Times New Roman" w:cs="Times New Roman"/>
          <w:i/>
          <w:sz w:val="26"/>
          <w:szCs w:val="26"/>
        </w:rPr>
        <w:t>Vision Ctr. v. Opticks, Inc.</w:t>
      </w:r>
      <w:r>
        <w:rPr>
          <w:rFonts w:ascii="Times New Roman" w:eastAsia="Times New Roman" w:hAnsi="Times New Roman" w:cs="Times New Roman"/>
          <w:sz w:val="26"/>
          <w:szCs w:val="26"/>
        </w:rPr>
        <w:t>, 596 F.2d 111, 115 (5</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1979).</w:t>
      </w:r>
    </w:p>
    <w:p w:rsidR="00735E4B" w:rsidRPr="00057DD6" w:rsidRDefault="00735E4B" w:rsidP="00447EAA">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If the registered trademark is a conventional trademark, the trademark is descriptive of the goods or services covered by the registration, and lacked acquired distinctiveness as of the registration date:</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basis of this ground for cancellation is Section 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5 </w:instrText>
      </w:r>
      <w:r>
        <w:rPr>
          <w:rFonts w:ascii="Times New Roman" w:eastAsia="Times New Roman" w:hAnsi="Times New Roman" w:cs="Times New Roman"/>
          <w:sz w:val="26"/>
          <w:szCs w:val="26"/>
        </w:rPr>
        <w:fldChar w:fldCharType="end">
          <w:numberingChange w:id="25" w:author="Author" w:original="(e)"/>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1 </w:instrText>
      </w:r>
      <w:r>
        <w:rPr>
          <w:rFonts w:ascii="Times New Roman" w:eastAsia="Times New Roman" w:hAnsi="Times New Roman" w:cs="Times New Roman"/>
          <w:sz w:val="26"/>
          <w:szCs w:val="26"/>
        </w:rPr>
        <w:fldChar w:fldCharType="end">
          <w:numberingChange w:id="26" w:author="Author" w:original="(1)"/>
        </w:fldChar>
      </w:r>
      <w:r>
        <w:rPr>
          <w:rFonts w:ascii="Times New Roman" w:eastAsia="Times New Roman" w:hAnsi="Times New Roman" w:cs="Times New Roman"/>
          <w:sz w:val="26"/>
          <w:szCs w:val="26"/>
        </w:rPr>
        <w:t xml:space="preserve"> of the Lanham Act, 15 U.S.C.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5 </w:instrText>
      </w:r>
      <w:r>
        <w:rPr>
          <w:rFonts w:ascii="Times New Roman" w:eastAsia="Times New Roman" w:hAnsi="Times New Roman" w:cs="Times New Roman"/>
          <w:sz w:val="26"/>
          <w:szCs w:val="26"/>
        </w:rPr>
        <w:fldChar w:fldCharType="end">
          <w:numberingChange w:id="27" w:author="Author" w:original="(e)"/>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1 </w:instrText>
      </w:r>
      <w:r>
        <w:rPr>
          <w:rFonts w:ascii="Times New Roman" w:eastAsia="Times New Roman" w:hAnsi="Times New Roman" w:cs="Times New Roman"/>
          <w:sz w:val="26"/>
          <w:szCs w:val="26"/>
        </w:rPr>
        <w:fldChar w:fldCharType="end">
          <w:numberingChange w:id="28" w:author="Author" w:original="(1)"/>
        </w:fldChar>
      </w:r>
      <w:r>
        <w:rPr>
          <w:rFonts w:ascii="Times New Roman" w:eastAsia="Times New Roman" w:hAnsi="Times New Roman" w:cs="Times New Roman"/>
          <w:sz w:val="26"/>
          <w:szCs w:val="26"/>
        </w:rPr>
        <w:t xml:space="preserve"> (20</w:t>
      </w:r>
      <w:r w:rsidR="00830A14">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It may not be asserted against a registration that has reached the fifth anniversary of its issuance.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29" w:author="Author" w:original="(3)"/>
        </w:fldChar>
      </w:r>
      <w:r>
        <w:rPr>
          <w:rFonts w:ascii="Times New Roman" w:eastAsia="Times New Roman" w:hAnsi="Times New Roman" w:cs="Times New Roman"/>
          <w:sz w:val="26"/>
          <w:szCs w:val="26"/>
        </w:rPr>
        <w:t>-</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5 </w:instrText>
      </w:r>
      <w:r>
        <w:rPr>
          <w:rFonts w:ascii="Times New Roman" w:eastAsia="Times New Roman" w:hAnsi="Times New Roman" w:cs="Times New Roman"/>
          <w:sz w:val="26"/>
          <w:szCs w:val="26"/>
        </w:rPr>
        <w:fldChar w:fldCharType="end">
          <w:numberingChange w:id="30" w:author="Author" w:original="(5)"/>
        </w:fldChar>
      </w:r>
      <w:r>
        <w:rPr>
          <w:rFonts w:ascii="Times New Roman" w:eastAsia="Times New Roman" w:hAnsi="Times New Roman" w:cs="Times New Roman"/>
          <w:sz w:val="26"/>
          <w:szCs w:val="26"/>
        </w:rPr>
        <w:t xml:space="preserve">. Because descriptive trademarks may be registered with a showing of acquired distinctiveness, or “secondary meaning,” a defendant pursuing this ground for cancellation bears the burden of demonstrating by a preponderance of the evidence and testimony that the registered trademark did not enjoy acquired distinctiveness as of that date.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6 </w:instrText>
      </w:r>
      <w:r>
        <w:rPr>
          <w:rFonts w:ascii="Times New Roman" w:eastAsia="Times New Roman" w:hAnsi="Times New Roman" w:cs="Times New Roman"/>
          <w:sz w:val="26"/>
          <w:szCs w:val="26"/>
        </w:rPr>
        <w:fldChar w:fldCharType="end">
          <w:numberingChange w:id="31" w:author="Author" w:original="(f)"/>
        </w:fldChar>
      </w:r>
      <w:r>
        <w:rPr>
          <w:rFonts w:ascii="Times New Roman" w:eastAsia="Times New Roman" w:hAnsi="Times New Roman" w:cs="Times New Roman"/>
          <w:sz w:val="26"/>
          <w:szCs w:val="26"/>
        </w:rPr>
        <w:t xml:space="preserve">. The fact that another person has copied another’s mark, in and of itself, does </w:t>
      </w:r>
      <w:r w:rsidR="00830A14">
        <w:rPr>
          <w:rFonts w:ascii="Times New Roman" w:eastAsia="Times New Roman" w:hAnsi="Times New Roman" w:cs="Times New Roman"/>
          <w:sz w:val="26"/>
          <w:szCs w:val="26"/>
        </w:rPr>
        <w:t xml:space="preserve">not </w:t>
      </w:r>
      <w:r>
        <w:rPr>
          <w:rFonts w:ascii="Times New Roman" w:eastAsia="Times New Roman" w:hAnsi="Times New Roman" w:cs="Times New Roman"/>
          <w:sz w:val="26"/>
          <w:szCs w:val="26"/>
        </w:rPr>
        <w:t xml:space="preserve">satisfy a party’s burden of proof and automatically establish that such mark has acquired a secondary meaning. In affirming a finding of no secondary meaning, one panel of the Eleventh Circuit has held that “[a]lthough we believe that proof of intentional copying is probative evidence on the secondary meaning issue, we cannot agree with [the plaintiff] that proof of intentional copying conclusively establishes that [plaintiff’s] trademark or tradedress has acquired secondary meaning.” </w:t>
      </w:r>
      <w:r>
        <w:rPr>
          <w:rFonts w:ascii="Times New Roman" w:eastAsia="Times New Roman" w:hAnsi="Times New Roman" w:cs="Times New Roman"/>
          <w:i/>
          <w:sz w:val="26"/>
          <w:szCs w:val="26"/>
        </w:rPr>
        <w:t>Brooks Shoe Mfg. Co. v. Suave Shoe Corp.</w:t>
      </w:r>
      <w:r>
        <w:rPr>
          <w:rFonts w:ascii="Times New Roman" w:eastAsia="Times New Roman" w:hAnsi="Times New Roman" w:cs="Times New Roman"/>
          <w:sz w:val="26"/>
          <w:szCs w:val="26"/>
        </w:rPr>
        <w:t>, 716 F.2d 854, 860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1983); </w:t>
      </w:r>
      <w:r>
        <w:rPr>
          <w:rFonts w:ascii="Times New Roman" w:eastAsia="Times New Roman" w:hAnsi="Times New Roman" w:cs="Times New Roman"/>
          <w:i/>
          <w:sz w:val="26"/>
          <w:szCs w:val="26"/>
        </w:rPr>
        <w:t>see also CPG Prods. Corp. v. Pegasus Luggage, Inc.</w:t>
      </w:r>
      <w:r>
        <w:rPr>
          <w:rFonts w:ascii="Times New Roman" w:eastAsia="Times New Roman" w:hAnsi="Times New Roman" w:cs="Times New Roman"/>
          <w:sz w:val="26"/>
          <w:szCs w:val="26"/>
        </w:rPr>
        <w:t xml:space="preserve">, 776 F.2d 1007, 1012 (Fed. Cir. 1985) (concluding, in application of Eleventh Circuit law, </w:t>
      </w:r>
      <w:r>
        <w:rPr>
          <w:rFonts w:ascii="Times New Roman" w:eastAsia="Times New Roman" w:hAnsi="Times New Roman" w:cs="Times New Roman"/>
          <w:sz w:val="26"/>
          <w:szCs w:val="26"/>
        </w:rPr>
        <w:lastRenderedPageBreak/>
        <w:t>that “[e]vidence of intentional copying in this case, also supports a finding of secondary meaning.”). Because neither the Eleventh Circuit nor the Federal Circuit has addressed the precise role played by intentional copying in the secondary meaning inquiry, these instructions adopt the four-factor test most commonly applied by the courts.</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Cancellation of a registration on this ground does not prevent the former registrant from establishing rights to its trademark independent of the registration. A jury finding a registration subject to cancellation on this ground therefore should evaluate whether the plaintiff otherwise has proven valid rights to its trademark and, if so, when those rights arose.</w:t>
      </w:r>
    </w:p>
    <w:p w:rsidR="00735E4B" w:rsidRPr="00603B64"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examples of descriptive trademarks set forth in the instruction bearing on this ground for cancellation are drawn from </w:t>
      </w:r>
      <w:r>
        <w:rPr>
          <w:rFonts w:ascii="Times New Roman" w:eastAsia="Times New Roman" w:hAnsi="Times New Roman" w:cs="Times New Roman"/>
          <w:i/>
          <w:sz w:val="26"/>
          <w:szCs w:val="26"/>
        </w:rPr>
        <w:t>Knights Armament Co. v. Optical Sys. Tech., Inc.</w:t>
      </w:r>
      <w:r>
        <w:rPr>
          <w:rFonts w:ascii="Times New Roman" w:eastAsia="Times New Roman" w:hAnsi="Times New Roman" w:cs="Times New Roman"/>
          <w:sz w:val="26"/>
          <w:szCs w:val="26"/>
        </w:rPr>
        <w:t>, 654 F.3d 1179, 1188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2011)</w:t>
      </w:r>
      <w:r w:rsidR="00830A1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Investacorp, Inc. v. Arabian Inv. Banking Cor</w:t>
      </w:r>
      <w:r w:rsidR="006C4DCA">
        <w:rPr>
          <w:rFonts w:ascii="Times New Roman" w:eastAsia="Times New Roman" w:hAnsi="Times New Roman" w:cs="Times New Roman"/>
          <w:i/>
          <w:sz w:val="26"/>
          <w:szCs w:val="26"/>
        </w:rPr>
        <w:t>p.</w:t>
      </w:r>
      <w:r>
        <w:rPr>
          <w:rFonts w:ascii="Times New Roman" w:eastAsia="Times New Roman" w:hAnsi="Times New Roman" w:cs="Times New Roman"/>
          <w:sz w:val="26"/>
          <w:szCs w:val="26"/>
        </w:rPr>
        <w:t>, 931 F.2d 1519, 1522-24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1990)</w:t>
      </w:r>
      <w:r w:rsidR="00830A1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 xml:space="preserve">Am. Television &amp; Commc’ns Corp. v. Am. Commc’ns </w:t>
      </w:r>
      <w:r w:rsidR="006C4DCA">
        <w:rPr>
          <w:rFonts w:ascii="Times New Roman" w:eastAsia="Times New Roman" w:hAnsi="Times New Roman" w:cs="Times New Roman"/>
          <w:i/>
          <w:sz w:val="26"/>
          <w:szCs w:val="26"/>
        </w:rPr>
        <w:t>&amp;</w:t>
      </w:r>
      <w:r>
        <w:rPr>
          <w:rFonts w:ascii="Times New Roman" w:eastAsia="Times New Roman" w:hAnsi="Times New Roman" w:cs="Times New Roman"/>
          <w:i/>
          <w:sz w:val="26"/>
          <w:szCs w:val="26"/>
        </w:rPr>
        <w:t xml:space="preserve"> Television, Inc.</w:t>
      </w:r>
      <w:r>
        <w:rPr>
          <w:rFonts w:ascii="Times New Roman" w:eastAsia="Times New Roman" w:hAnsi="Times New Roman" w:cs="Times New Roman"/>
          <w:sz w:val="26"/>
          <w:szCs w:val="26"/>
        </w:rPr>
        <w:t>, 810 F.2d 1546, 1549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1987)</w:t>
      </w:r>
      <w:r w:rsidR="00830A1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w:t>
      </w:r>
      <w:r>
        <w:rPr>
          <w:rFonts w:ascii="Times New Roman" w:eastAsia="Times New Roman" w:hAnsi="Times New Roman" w:cs="Times New Roman"/>
          <w:i/>
          <w:sz w:val="26"/>
          <w:szCs w:val="26"/>
        </w:rPr>
        <w:t>Beneficial Indus. Loan Corp. v. Allenstein</w:t>
      </w:r>
      <w:r>
        <w:rPr>
          <w:rFonts w:ascii="Times New Roman" w:eastAsia="Times New Roman" w:hAnsi="Times New Roman" w:cs="Times New Roman"/>
          <w:sz w:val="26"/>
          <w:szCs w:val="26"/>
        </w:rPr>
        <w:t>, 173 F.2d 38, 40 (5</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1949).</w:t>
      </w:r>
    </w:p>
    <w:p w:rsidR="00735E4B" w:rsidRPr="00057DD6" w:rsidRDefault="00735E4B" w:rsidP="00447EAA">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If the registered trademark is a trade dress, the trademark is not an inherently distinctive indicator of the origin of the goods or services covered by the registration and lacked acquired distinctiveness as of the registration date:</w:t>
      </w:r>
    </w:p>
    <w:p w:rsidR="00735E4B" w:rsidRPr="00F262E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basis of this ground for cancellation is Section 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5 </w:instrText>
      </w:r>
      <w:r>
        <w:rPr>
          <w:rFonts w:ascii="Times New Roman" w:eastAsia="Times New Roman" w:hAnsi="Times New Roman" w:cs="Times New Roman"/>
          <w:sz w:val="26"/>
          <w:szCs w:val="26"/>
        </w:rPr>
        <w:fldChar w:fldCharType="end">
          <w:numberingChange w:id="32" w:author="Author" w:original="(e)"/>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1 </w:instrText>
      </w:r>
      <w:r>
        <w:rPr>
          <w:rFonts w:ascii="Times New Roman" w:eastAsia="Times New Roman" w:hAnsi="Times New Roman" w:cs="Times New Roman"/>
          <w:sz w:val="26"/>
          <w:szCs w:val="26"/>
        </w:rPr>
        <w:fldChar w:fldCharType="end">
          <w:numberingChange w:id="33" w:author="Author" w:original="(1)"/>
        </w:fldChar>
      </w:r>
      <w:r>
        <w:rPr>
          <w:rFonts w:ascii="Times New Roman" w:eastAsia="Times New Roman" w:hAnsi="Times New Roman" w:cs="Times New Roman"/>
          <w:sz w:val="26"/>
          <w:szCs w:val="26"/>
        </w:rPr>
        <w:t xml:space="preserve"> of the Lanham Act, 15 U.S.C.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5 </w:instrText>
      </w:r>
      <w:r>
        <w:rPr>
          <w:rFonts w:ascii="Times New Roman" w:eastAsia="Times New Roman" w:hAnsi="Times New Roman" w:cs="Times New Roman"/>
          <w:sz w:val="26"/>
          <w:szCs w:val="26"/>
        </w:rPr>
        <w:fldChar w:fldCharType="end">
          <w:numberingChange w:id="34" w:author="Author" w:original="(e)"/>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1 </w:instrText>
      </w:r>
      <w:r>
        <w:rPr>
          <w:rFonts w:ascii="Times New Roman" w:eastAsia="Times New Roman" w:hAnsi="Times New Roman" w:cs="Times New Roman"/>
          <w:sz w:val="26"/>
          <w:szCs w:val="26"/>
        </w:rPr>
        <w:fldChar w:fldCharType="end">
          <w:numberingChange w:id="35" w:author="Author" w:original="(1)"/>
        </w:fldChar>
      </w:r>
      <w:r>
        <w:rPr>
          <w:rFonts w:ascii="Times New Roman" w:eastAsia="Times New Roman" w:hAnsi="Times New Roman" w:cs="Times New Roman"/>
          <w:sz w:val="26"/>
          <w:szCs w:val="26"/>
        </w:rPr>
        <w:t xml:space="preserve"> (20</w:t>
      </w:r>
      <w:r w:rsidR="00830A14">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It may not be asserted against a registration that has reached the fifth anniversary of its issuance.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36" w:author="Author" w:original="(3)"/>
        </w:fldChar>
      </w:r>
      <w:r>
        <w:rPr>
          <w:rFonts w:ascii="Times New Roman" w:eastAsia="Times New Roman" w:hAnsi="Times New Roman" w:cs="Times New Roman"/>
          <w:sz w:val="26"/>
          <w:szCs w:val="26"/>
        </w:rPr>
        <w:t>-</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5 </w:instrText>
      </w:r>
      <w:r>
        <w:rPr>
          <w:rFonts w:ascii="Times New Roman" w:eastAsia="Times New Roman" w:hAnsi="Times New Roman" w:cs="Times New Roman"/>
          <w:sz w:val="26"/>
          <w:szCs w:val="26"/>
        </w:rPr>
        <w:fldChar w:fldCharType="end">
          <w:numberingChange w:id="37" w:author="Author" w:original="(5)"/>
        </w:fldChar>
      </w:r>
      <w:r>
        <w:rPr>
          <w:rFonts w:ascii="Times New Roman" w:eastAsia="Times New Roman" w:hAnsi="Times New Roman" w:cs="Times New Roman"/>
          <w:sz w:val="26"/>
          <w:szCs w:val="26"/>
        </w:rPr>
        <w:t xml:space="preserve">. Because noninherently distinctive trademarks may be registered with a showing of acquired distinctiveness, or “secondary meaning,” a defendant pursuing this ground for cancellation bears the burden of demonstrating by a preponderance of the evidence and testimony that the registered trademark did not enjoy acquired distinctiveness as of that date.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6 </w:instrText>
      </w:r>
      <w:r>
        <w:rPr>
          <w:rFonts w:ascii="Times New Roman" w:eastAsia="Times New Roman" w:hAnsi="Times New Roman" w:cs="Times New Roman"/>
          <w:sz w:val="26"/>
          <w:szCs w:val="26"/>
        </w:rPr>
        <w:fldChar w:fldCharType="end">
          <w:numberingChange w:id="38" w:author="Author" w:original="(f)"/>
        </w:fldChar>
      </w:r>
      <w:r>
        <w:rPr>
          <w:rFonts w:ascii="Times New Roman" w:eastAsia="Times New Roman" w:hAnsi="Times New Roman" w:cs="Times New Roman"/>
          <w:sz w:val="26"/>
          <w:szCs w:val="26"/>
        </w:rPr>
        <w:t>.</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Cancellation of a registration on this ground does not prevent the former registrant from establishing rights to its trademark independent of the registration. A jury finding a registration subject to cancellation on this ground therefore should evaluate whether the plaintiff otherwise has proven valid rights to its trademark and, if so, when those rights arose.</w:t>
      </w:r>
    </w:p>
    <w:p w:rsidR="00735E4B" w:rsidRPr="00FB19DF"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test for distinguishing between inherently distinctive and noninherently distinctive trademarks in the instruction bearing on this ground for cancellation is taken from </w:t>
      </w:r>
      <w:r>
        <w:rPr>
          <w:rFonts w:ascii="Times New Roman" w:eastAsia="Times New Roman" w:hAnsi="Times New Roman" w:cs="Times New Roman"/>
          <w:i/>
          <w:sz w:val="26"/>
          <w:szCs w:val="26"/>
        </w:rPr>
        <w:t>Brooks Shoe Mfg. Co. v. Suave Shoe Corp.</w:t>
      </w:r>
      <w:r>
        <w:rPr>
          <w:rFonts w:ascii="Times New Roman" w:eastAsia="Times New Roman" w:hAnsi="Times New Roman" w:cs="Times New Roman"/>
          <w:sz w:val="26"/>
          <w:szCs w:val="26"/>
        </w:rPr>
        <w:t>, 716 F.2d 854, 857-58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1983), and has its origin in </w:t>
      </w:r>
      <w:r>
        <w:rPr>
          <w:rFonts w:ascii="Times New Roman" w:eastAsia="Times New Roman" w:hAnsi="Times New Roman" w:cs="Times New Roman"/>
          <w:i/>
          <w:sz w:val="26"/>
          <w:szCs w:val="26"/>
        </w:rPr>
        <w:t>Seabrook Foods, Inc. v. Bar-Well Foods, Ltd.</w:t>
      </w:r>
      <w:r>
        <w:rPr>
          <w:rFonts w:ascii="Times New Roman" w:eastAsia="Times New Roman" w:hAnsi="Times New Roman" w:cs="Times New Roman"/>
          <w:sz w:val="26"/>
          <w:szCs w:val="26"/>
        </w:rPr>
        <w:t xml:space="preserve">, 568 F.2d 1342, 1344 (C.C.P.A. 1977). In </w:t>
      </w:r>
      <w:r>
        <w:rPr>
          <w:rFonts w:ascii="Times New Roman" w:eastAsia="Times New Roman" w:hAnsi="Times New Roman" w:cs="Times New Roman"/>
          <w:i/>
          <w:sz w:val="26"/>
          <w:szCs w:val="26"/>
        </w:rPr>
        <w:t>AmBrit, Inc. v. Kraft, Inc.</w:t>
      </w:r>
      <w:r>
        <w:rPr>
          <w:rFonts w:ascii="Times New Roman" w:eastAsia="Times New Roman" w:hAnsi="Times New Roman" w:cs="Times New Roman"/>
          <w:sz w:val="26"/>
          <w:szCs w:val="26"/>
        </w:rPr>
        <w:t>, 812 F.2d 1531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1986), the court declined to disturb the district court’s reliance on the </w:t>
      </w:r>
      <w:r>
        <w:rPr>
          <w:rFonts w:ascii="Times New Roman" w:eastAsia="Times New Roman" w:hAnsi="Times New Roman" w:cs="Times New Roman"/>
          <w:i/>
          <w:sz w:val="26"/>
          <w:szCs w:val="26"/>
        </w:rPr>
        <w:t>Seabrook</w:t>
      </w:r>
      <w:r>
        <w:rPr>
          <w:rFonts w:ascii="Times New Roman" w:eastAsia="Times New Roman" w:hAnsi="Times New Roman" w:cs="Times New Roman"/>
          <w:sz w:val="26"/>
          <w:szCs w:val="26"/>
        </w:rPr>
        <w:t xml:space="preserve"> factors in finding a claimed trade dress to be inherently distinctive, although the court also invoked the four-tiered spectrum of distinctiveness this instruction proposes for conventional trademarks, </w:t>
      </w:r>
      <w:r>
        <w:rPr>
          <w:rFonts w:ascii="Times New Roman" w:eastAsia="Times New Roman" w:hAnsi="Times New Roman" w:cs="Times New Roman"/>
          <w:sz w:val="26"/>
          <w:szCs w:val="26"/>
        </w:rPr>
        <w:lastRenderedPageBreak/>
        <w:t xml:space="preserve">service marks, collective marks, and certification marks.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xml:space="preserve">. at 1347; </w:t>
      </w:r>
      <w:r>
        <w:rPr>
          <w:rFonts w:ascii="Times New Roman" w:eastAsia="Times New Roman" w:hAnsi="Times New Roman" w:cs="Times New Roman"/>
          <w:i/>
          <w:sz w:val="26"/>
          <w:szCs w:val="26"/>
        </w:rPr>
        <w:t>see also Univ. of Fla. v. KPB, Inc.</w:t>
      </w:r>
      <w:r>
        <w:rPr>
          <w:rFonts w:ascii="Times New Roman" w:eastAsia="Times New Roman" w:hAnsi="Times New Roman" w:cs="Times New Roman"/>
          <w:sz w:val="26"/>
          <w:szCs w:val="26"/>
        </w:rPr>
        <w:t>, 89 F.3d 773, 776 n.4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1996) (noting use of both tests in prior case law). Because there is no necessary inconsistency between the two tests, this instruction is not intended to foreclose application of the spectrum-of-distinctiveness test in actions to protect claimed trade dresses.</w:t>
      </w:r>
    </w:p>
    <w:p w:rsidR="00735E4B" w:rsidRPr="00057DD6" w:rsidRDefault="00735E4B" w:rsidP="00447EAA">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registered trademark is primarily geographically descriptive of the goods or services covered by the registration and lacked acquired distinctiveness as of the registration date</w:t>
      </w:r>
    </w:p>
    <w:p w:rsidR="00735E4B" w:rsidRPr="00FB19DF"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basis of this ground for cancellation is Section 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5 </w:instrText>
      </w:r>
      <w:r>
        <w:rPr>
          <w:rFonts w:ascii="Times New Roman" w:eastAsia="Times New Roman" w:hAnsi="Times New Roman" w:cs="Times New Roman"/>
          <w:sz w:val="26"/>
          <w:szCs w:val="26"/>
        </w:rPr>
        <w:fldChar w:fldCharType="end">
          <w:numberingChange w:id="39" w:author="Author" w:original="(e)"/>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2 </w:instrText>
      </w:r>
      <w:r>
        <w:rPr>
          <w:rFonts w:ascii="Times New Roman" w:eastAsia="Times New Roman" w:hAnsi="Times New Roman" w:cs="Times New Roman"/>
          <w:sz w:val="26"/>
          <w:szCs w:val="26"/>
        </w:rPr>
        <w:fldChar w:fldCharType="end">
          <w:numberingChange w:id="40" w:author="Author" w:original="(2)"/>
        </w:fldChar>
      </w:r>
      <w:r>
        <w:rPr>
          <w:rFonts w:ascii="Times New Roman" w:eastAsia="Times New Roman" w:hAnsi="Times New Roman" w:cs="Times New Roman"/>
          <w:sz w:val="26"/>
          <w:szCs w:val="26"/>
        </w:rPr>
        <w:t xml:space="preserve"> of the Lanham Act, 15 U.S.C.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5 </w:instrText>
      </w:r>
      <w:r>
        <w:rPr>
          <w:rFonts w:ascii="Times New Roman" w:eastAsia="Times New Roman" w:hAnsi="Times New Roman" w:cs="Times New Roman"/>
          <w:sz w:val="26"/>
          <w:szCs w:val="26"/>
        </w:rPr>
        <w:fldChar w:fldCharType="end">
          <w:numberingChange w:id="41" w:author="Author" w:original="(e)"/>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2 </w:instrText>
      </w:r>
      <w:r>
        <w:rPr>
          <w:rFonts w:ascii="Times New Roman" w:eastAsia="Times New Roman" w:hAnsi="Times New Roman" w:cs="Times New Roman"/>
          <w:sz w:val="26"/>
          <w:szCs w:val="26"/>
        </w:rPr>
        <w:fldChar w:fldCharType="end">
          <w:numberingChange w:id="42" w:author="Author" w:original="(2)"/>
        </w:fldChar>
      </w:r>
      <w:r>
        <w:rPr>
          <w:rFonts w:ascii="Times New Roman" w:eastAsia="Times New Roman" w:hAnsi="Times New Roman" w:cs="Times New Roman"/>
          <w:sz w:val="26"/>
          <w:szCs w:val="26"/>
        </w:rPr>
        <w:t xml:space="preserve"> (20</w:t>
      </w:r>
      <w:r w:rsidR="00830A14">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It may not be asserted against a registration that has reached the fifth anniversary of its issuance.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43" w:author="Author" w:original="(3)"/>
        </w:fldChar>
      </w:r>
      <w:r>
        <w:rPr>
          <w:rFonts w:ascii="Times New Roman" w:eastAsia="Times New Roman" w:hAnsi="Times New Roman" w:cs="Times New Roman"/>
          <w:sz w:val="26"/>
          <w:szCs w:val="26"/>
        </w:rPr>
        <w:t>-</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5 </w:instrText>
      </w:r>
      <w:r>
        <w:rPr>
          <w:rFonts w:ascii="Times New Roman" w:eastAsia="Times New Roman" w:hAnsi="Times New Roman" w:cs="Times New Roman"/>
          <w:sz w:val="26"/>
          <w:szCs w:val="26"/>
        </w:rPr>
        <w:fldChar w:fldCharType="end">
          <w:numberingChange w:id="44" w:author="Author" w:original="(5)"/>
        </w:fldChar>
      </w:r>
      <w:r>
        <w:rPr>
          <w:rFonts w:ascii="Times New Roman" w:eastAsia="Times New Roman" w:hAnsi="Times New Roman" w:cs="Times New Roman"/>
          <w:sz w:val="26"/>
          <w:szCs w:val="26"/>
        </w:rPr>
        <w:t xml:space="preserve">. Because primarily geographically descriptive trademarks may be registered with a showing of acquired distinctiveness, or “secondary meaning,” a defendant pursuing this ground for cancellation bears the burden of demonstrating by a preponderance of the evidence and testimony that the registered trademark did not enjoy acquired distinctiveness as of that date.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6 </w:instrText>
      </w:r>
      <w:r>
        <w:rPr>
          <w:rFonts w:ascii="Times New Roman" w:eastAsia="Times New Roman" w:hAnsi="Times New Roman" w:cs="Times New Roman"/>
          <w:sz w:val="26"/>
          <w:szCs w:val="26"/>
        </w:rPr>
        <w:fldChar w:fldCharType="end">
          <w:numberingChange w:id="45" w:author="Author" w:original="(f)"/>
        </w:fldChar>
      </w:r>
      <w:r>
        <w:rPr>
          <w:rFonts w:ascii="Times New Roman" w:eastAsia="Times New Roman" w:hAnsi="Times New Roman" w:cs="Times New Roman"/>
          <w:sz w:val="26"/>
          <w:szCs w:val="26"/>
        </w:rPr>
        <w:t>.</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Cancellation of a registration on this ground does not prevent the former registrant from establishing rights to its trademark independent of the registration. A jury finding a registration subject to cancellation on this ground therefore should evaluate whether the plaintiff otherwise has proven valid rights to its trademark and, if so, when those rights arose.</w:t>
      </w:r>
    </w:p>
    <w:p w:rsidR="00735E4B" w:rsidRPr="00456C54"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examples of primarily geographically descriptive marks set forth in this instruction are drawn from </w:t>
      </w:r>
      <w:r>
        <w:rPr>
          <w:rFonts w:ascii="Times New Roman" w:eastAsia="Times New Roman" w:hAnsi="Times New Roman" w:cs="Times New Roman"/>
          <w:i/>
          <w:sz w:val="26"/>
          <w:szCs w:val="26"/>
        </w:rPr>
        <w:t>Elgin Nat’l Watch Co. v. Ill. Watch Case Co.</w:t>
      </w:r>
      <w:r>
        <w:rPr>
          <w:rFonts w:ascii="Times New Roman" w:eastAsia="Times New Roman" w:hAnsi="Times New Roman" w:cs="Times New Roman"/>
          <w:sz w:val="26"/>
          <w:szCs w:val="26"/>
        </w:rPr>
        <w:t xml:space="preserve">, 179 U.S. 665, 21 S. Ct. 270, 45 L. Ed. 365 (1901); </w:t>
      </w:r>
      <w:r>
        <w:rPr>
          <w:rFonts w:ascii="Times New Roman" w:eastAsia="Times New Roman" w:hAnsi="Times New Roman" w:cs="Times New Roman"/>
          <w:i/>
          <w:sz w:val="26"/>
          <w:szCs w:val="26"/>
        </w:rPr>
        <w:t>Canal Co. v. Clark</w:t>
      </w:r>
      <w:r>
        <w:rPr>
          <w:rFonts w:ascii="Times New Roman" w:eastAsia="Times New Roman" w:hAnsi="Times New Roman" w:cs="Times New Roman"/>
          <w:sz w:val="26"/>
          <w:szCs w:val="26"/>
        </w:rPr>
        <w:t>, 80 U.S. (13 Wall.) 311, 20 L. Ed. 581 (1872)</w:t>
      </w:r>
      <w:r w:rsidR="00830A1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w:t>
      </w:r>
      <w:r>
        <w:rPr>
          <w:rFonts w:ascii="Times New Roman" w:eastAsia="Times New Roman" w:hAnsi="Times New Roman" w:cs="Times New Roman"/>
          <w:i/>
          <w:sz w:val="26"/>
          <w:szCs w:val="26"/>
        </w:rPr>
        <w:t>Int’l Breweries, Inc. v. Anheuser-Busch, Inc.</w:t>
      </w:r>
      <w:r>
        <w:rPr>
          <w:rFonts w:ascii="Times New Roman" w:eastAsia="Times New Roman" w:hAnsi="Times New Roman" w:cs="Times New Roman"/>
          <w:sz w:val="26"/>
          <w:szCs w:val="26"/>
        </w:rPr>
        <w:t>, 364 F.2d 262, 262-63 (5</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1966). The example of a trademark that is not primarily geographically descriptive is drawn from </w:t>
      </w:r>
      <w:r>
        <w:rPr>
          <w:rFonts w:ascii="Times New Roman" w:eastAsia="Times New Roman" w:hAnsi="Times New Roman" w:cs="Times New Roman"/>
          <w:i/>
          <w:sz w:val="26"/>
          <w:szCs w:val="26"/>
        </w:rPr>
        <w:t>World Carpets, Inc. v. Dick Littrell’s New World Carpets</w:t>
      </w:r>
      <w:r>
        <w:rPr>
          <w:rFonts w:ascii="Times New Roman" w:eastAsia="Times New Roman" w:hAnsi="Times New Roman" w:cs="Times New Roman"/>
          <w:sz w:val="26"/>
          <w:szCs w:val="26"/>
        </w:rPr>
        <w:t>, 438 F.2d 482, 485 (5</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1971).</w:t>
      </w:r>
    </w:p>
    <w:p w:rsidR="00735E4B" w:rsidRPr="00057DD6" w:rsidRDefault="00735E4B" w:rsidP="00447EAA">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registered trademark is primarily merely a surname and lacked secondary meaning as of the registration date:</w:t>
      </w:r>
    </w:p>
    <w:p w:rsidR="00735E4B" w:rsidRPr="00456C54"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w:t>
      </w:r>
      <w:r w:rsidR="00820515">
        <w:rPr>
          <w:rFonts w:ascii="Times New Roman" w:eastAsia="Times New Roman" w:hAnsi="Times New Roman" w:cs="Times New Roman"/>
          <w:sz w:val="26"/>
          <w:szCs w:val="26"/>
        </w:rPr>
        <w:t>i</w:t>
      </w:r>
      <w:r>
        <w:rPr>
          <w:rFonts w:ascii="Times New Roman" w:eastAsia="Times New Roman" w:hAnsi="Times New Roman" w:cs="Times New Roman"/>
          <w:sz w:val="26"/>
          <w:szCs w:val="26"/>
        </w:rPr>
        <w:t>s of this ground for cancellation is Section 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5 </w:instrText>
      </w:r>
      <w:r>
        <w:rPr>
          <w:rFonts w:ascii="Times New Roman" w:eastAsia="Times New Roman" w:hAnsi="Times New Roman" w:cs="Times New Roman"/>
          <w:sz w:val="26"/>
          <w:szCs w:val="26"/>
        </w:rPr>
        <w:fldChar w:fldCharType="end">
          <w:numberingChange w:id="46" w:author="Author" w:original="(e)"/>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4 </w:instrText>
      </w:r>
      <w:r>
        <w:rPr>
          <w:rFonts w:ascii="Times New Roman" w:eastAsia="Times New Roman" w:hAnsi="Times New Roman" w:cs="Times New Roman"/>
          <w:sz w:val="26"/>
          <w:szCs w:val="26"/>
        </w:rPr>
        <w:fldChar w:fldCharType="end">
          <w:numberingChange w:id="47" w:author="Author" w:original="(4)"/>
        </w:fldChar>
      </w:r>
      <w:r>
        <w:rPr>
          <w:rFonts w:ascii="Times New Roman" w:eastAsia="Times New Roman" w:hAnsi="Times New Roman" w:cs="Times New Roman"/>
          <w:sz w:val="26"/>
          <w:szCs w:val="26"/>
        </w:rPr>
        <w:t xml:space="preserve"> of the Lanham Act, 15 U.S.C.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5 </w:instrText>
      </w:r>
      <w:r>
        <w:rPr>
          <w:rFonts w:ascii="Times New Roman" w:eastAsia="Times New Roman" w:hAnsi="Times New Roman" w:cs="Times New Roman"/>
          <w:sz w:val="26"/>
          <w:szCs w:val="26"/>
        </w:rPr>
        <w:fldChar w:fldCharType="end">
          <w:numberingChange w:id="48" w:author="Author" w:original="(e)"/>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4 </w:instrText>
      </w:r>
      <w:r>
        <w:rPr>
          <w:rFonts w:ascii="Times New Roman" w:eastAsia="Times New Roman" w:hAnsi="Times New Roman" w:cs="Times New Roman"/>
          <w:sz w:val="26"/>
          <w:szCs w:val="26"/>
        </w:rPr>
        <w:fldChar w:fldCharType="end">
          <w:numberingChange w:id="49" w:author="Author" w:original="(4)"/>
        </w:fldChar>
      </w:r>
      <w:r>
        <w:rPr>
          <w:rFonts w:ascii="Times New Roman" w:eastAsia="Times New Roman" w:hAnsi="Times New Roman" w:cs="Times New Roman"/>
          <w:sz w:val="26"/>
          <w:szCs w:val="26"/>
        </w:rPr>
        <w:t xml:space="preserve"> (20</w:t>
      </w:r>
      <w:r w:rsidR="00830A14">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It may not be asserted against a registration that has reached its fifth anniversary of issuance.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50" w:author="Author" w:original="(3)"/>
        </w:fldChar>
      </w:r>
      <w:r>
        <w:rPr>
          <w:rFonts w:ascii="Times New Roman" w:eastAsia="Times New Roman" w:hAnsi="Times New Roman" w:cs="Times New Roman"/>
          <w:sz w:val="26"/>
          <w:szCs w:val="26"/>
        </w:rPr>
        <w:t>-</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5 </w:instrText>
      </w:r>
      <w:r>
        <w:rPr>
          <w:rFonts w:ascii="Times New Roman" w:eastAsia="Times New Roman" w:hAnsi="Times New Roman" w:cs="Times New Roman"/>
          <w:sz w:val="26"/>
          <w:szCs w:val="26"/>
        </w:rPr>
        <w:fldChar w:fldCharType="end">
          <w:numberingChange w:id="51" w:author="Author" w:original="(5)"/>
        </w:fldChar>
      </w:r>
      <w:r>
        <w:rPr>
          <w:rFonts w:ascii="Times New Roman" w:eastAsia="Times New Roman" w:hAnsi="Times New Roman" w:cs="Times New Roman"/>
          <w:sz w:val="26"/>
          <w:szCs w:val="26"/>
        </w:rPr>
        <w:t xml:space="preserve">. Because surnames may be registered with a showing of acquired distinctiveness, or “secondary meaning,” a defendant pursuing this ground for cancellation bears the burden of demonstrating by a preponderance of the evidence and testimony that the registered trademark did not enjoy acquired distinctiveness as of that date.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6 </w:instrText>
      </w:r>
      <w:r>
        <w:rPr>
          <w:rFonts w:ascii="Times New Roman" w:eastAsia="Times New Roman" w:hAnsi="Times New Roman" w:cs="Times New Roman"/>
          <w:sz w:val="26"/>
          <w:szCs w:val="26"/>
        </w:rPr>
        <w:fldChar w:fldCharType="end">
          <w:numberingChange w:id="52" w:author="Author" w:original="(f)"/>
        </w:fldChar>
      </w:r>
      <w:r>
        <w:rPr>
          <w:rFonts w:ascii="Times New Roman" w:eastAsia="Times New Roman" w:hAnsi="Times New Roman" w:cs="Times New Roman"/>
          <w:sz w:val="26"/>
          <w:szCs w:val="26"/>
        </w:rPr>
        <w:t>.</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Cancellation of a registration on this ground does not prevent the former registrant from establishing rights to its trademark independent of the registration. A jury finding a registration subject to cancellation on this ground therefore should evaluate whether the plaintiff otherwise has proven valid rights to its trademark and, if so, when those rights arose.</w:t>
      </w:r>
    </w:p>
    <w:p w:rsidR="00735E4B" w:rsidRPr="00283872"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examples of surnames in the instruction bearing on this ground for cancellation are drawn from </w:t>
      </w:r>
      <w:r>
        <w:rPr>
          <w:rFonts w:ascii="Times New Roman" w:eastAsia="Times New Roman" w:hAnsi="Times New Roman" w:cs="Times New Roman"/>
          <w:i/>
          <w:sz w:val="26"/>
          <w:szCs w:val="26"/>
        </w:rPr>
        <w:t>Conagra, Inc. v. Singleton</w:t>
      </w:r>
      <w:r>
        <w:rPr>
          <w:rFonts w:ascii="Times New Roman" w:eastAsia="Times New Roman" w:hAnsi="Times New Roman" w:cs="Times New Roman"/>
          <w:sz w:val="26"/>
          <w:szCs w:val="26"/>
        </w:rPr>
        <w:t>, 743 F.2d 1508, 1513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1984)</w:t>
      </w:r>
      <w:r w:rsidR="00830A1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w:t>
      </w:r>
      <w:r>
        <w:rPr>
          <w:rFonts w:ascii="Times New Roman" w:eastAsia="Times New Roman" w:hAnsi="Times New Roman" w:cs="Times New Roman"/>
          <w:i/>
          <w:sz w:val="26"/>
          <w:szCs w:val="26"/>
        </w:rPr>
        <w:t>Investacorp, Inc. v. Arabian Inv. Banking Corp. (Investcorp) E.C.</w:t>
      </w:r>
      <w:r>
        <w:rPr>
          <w:rFonts w:ascii="Times New Roman" w:eastAsia="Times New Roman" w:hAnsi="Times New Roman" w:cs="Times New Roman"/>
          <w:sz w:val="26"/>
          <w:szCs w:val="26"/>
        </w:rPr>
        <w:t>, 931 F.2d 1519, 1522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1991)</w:t>
      </w:r>
    </w:p>
    <w:p w:rsidR="00735E4B" w:rsidRDefault="00735E4B" w:rsidP="00447EAA">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registered trademark comprises matter that, as a whole, is functional:</w:t>
      </w:r>
    </w:p>
    <w:p w:rsidR="00735E4B" w:rsidRPr="00283872"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basis of this ground for cancellation are Sections 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5 </w:instrText>
      </w:r>
      <w:r>
        <w:rPr>
          <w:rFonts w:ascii="Times New Roman" w:eastAsia="Times New Roman" w:hAnsi="Times New Roman" w:cs="Times New Roman"/>
          <w:sz w:val="26"/>
          <w:szCs w:val="26"/>
        </w:rPr>
        <w:fldChar w:fldCharType="end">
          <w:numberingChange w:id="53" w:author="Author" w:original="(e)"/>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5 </w:instrText>
      </w:r>
      <w:r>
        <w:rPr>
          <w:rFonts w:ascii="Times New Roman" w:eastAsia="Times New Roman" w:hAnsi="Times New Roman" w:cs="Times New Roman"/>
          <w:sz w:val="26"/>
          <w:szCs w:val="26"/>
        </w:rPr>
        <w:fldChar w:fldCharType="end">
          <w:numberingChange w:id="54" w:author="Author" w:original="(5)"/>
        </w:fldChar>
      </w:r>
      <w:r>
        <w:rPr>
          <w:rFonts w:ascii="Times New Roman" w:eastAsia="Times New Roman" w:hAnsi="Times New Roman" w:cs="Times New Roman"/>
          <w:sz w:val="26"/>
          <w:szCs w:val="26"/>
        </w:rPr>
        <w:t xml:space="preserve"> and 14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55" w:author="Author" w:original="(3)"/>
        </w:fldChar>
      </w:r>
      <w:r>
        <w:rPr>
          <w:rFonts w:ascii="Times New Roman" w:eastAsia="Times New Roman" w:hAnsi="Times New Roman" w:cs="Times New Roman"/>
          <w:sz w:val="26"/>
          <w:szCs w:val="26"/>
        </w:rPr>
        <w:t xml:space="preserve"> of the Lanham Act, 15 U.S.C.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5 </w:instrText>
      </w:r>
      <w:r>
        <w:rPr>
          <w:rFonts w:ascii="Times New Roman" w:eastAsia="Times New Roman" w:hAnsi="Times New Roman" w:cs="Times New Roman"/>
          <w:sz w:val="26"/>
          <w:szCs w:val="26"/>
        </w:rPr>
        <w:fldChar w:fldCharType="end">
          <w:numberingChange w:id="56" w:author="Author" w:original="(e)"/>
        </w:fldChar>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2 </w:instrText>
      </w:r>
      <w:r>
        <w:rPr>
          <w:rFonts w:ascii="Times New Roman" w:eastAsia="Times New Roman" w:hAnsi="Times New Roman" w:cs="Times New Roman"/>
          <w:sz w:val="26"/>
          <w:szCs w:val="26"/>
        </w:rPr>
        <w:fldChar w:fldCharType="end">
          <w:numberingChange w:id="57" w:author="Author" w:original="(2)"/>
        </w:fldChar>
      </w:r>
      <w:r>
        <w:rPr>
          <w:rFonts w:ascii="Times New Roman" w:eastAsia="Times New Roman" w:hAnsi="Times New Roman" w:cs="Times New Roman"/>
          <w:sz w:val="26"/>
          <w:szCs w:val="26"/>
        </w:rPr>
        <w:t xml:space="preserve"> </w:t>
      </w:r>
      <w:r w:rsidR="00820515">
        <w:rPr>
          <w:rFonts w:ascii="Times New Roman" w:eastAsia="Times New Roman" w:hAnsi="Times New Roman" w:cs="Times New Roman"/>
          <w:sz w:val="26"/>
          <w:szCs w:val="26"/>
        </w:rPr>
        <w:t>&amp;</w:t>
      </w:r>
      <w:r>
        <w:rPr>
          <w:rFonts w:ascii="Times New Roman" w:eastAsia="Times New Roman" w:hAnsi="Times New Roman" w:cs="Times New Roman"/>
          <w:sz w:val="26"/>
          <w:szCs w:val="26"/>
        </w:rPr>
        <w:t xml:space="preserve">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58" w:author="Author" w:original="(3)"/>
        </w:fldChar>
      </w:r>
      <w:r>
        <w:rPr>
          <w:rFonts w:ascii="Times New Roman" w:eastAsia="Times New Roman" w:hAnsi="Times New Roman" w:cs="Times New Roman"/>
          <w:sz w:val="26"/>
          <w:szCs w:val="26"/>
        </w:rPr>
        <w:t xml:space="preserve"> (20</w:t>
      </w:r>
      <w:r w:rsidR="00830A14">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It may be asserted against a registration that has reached the fifth anniversary of its issuance. </w:t>
      </w:r>
      <w:r>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15 U.S.C.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59" w:author="Author" w:original="(3)"/>
        </w:fldChar>
      </w:r>
      <w:r>
        <w:rPr>
          <w:rFonts w:ascii="Times New Roman" w:eastAsia="Times New Roman" w:hAnsi="Times New Roman" w:cs="Times New Roman"/>
          <w:sz w:val="26"/>
          <w:szCs w:val="26"/>
        </w:rPr>
        <w:t xml:space="preserve">. The existence or nonexistence of acquired distinctiveness, or “secondary meaning,” is irrelevant to this ground for cancellation, and a defendant pursuing it therefore need not prove the absence of acquired distinctiveness to prevail.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6 </w:instrText>
      </w:r>
      <w:r>
        <w:rPr>
          <w:rFonts w:ascii="Times New Roman" w:eastAsia="Times New Roman" w:hAnsi="Times New Roman" w:cs="Times New Roman"/>
          <w:sz w:val="26"/>
          <w:szCs w:val="26"/>
        </w:rPr>
        <w:fldChar w:fldCharType="end">
          <w:numberingChange w:id="60" w:author="Author" w:original="(f)"/>
        </w:fldChar>
      </w:r>
      <w:r>
        <w:rPr>
          <w:rFonts w:ascii="Times New Roman" w:eastAsia="Times New Roman" w:hAnsi="Times New Roman" w:cs="Times New Roman"/>
          <w:sz w:val="26"/>
          <w:szCs w:val="26"/>
        </w:rPr>
        <w:t>.</w:t>
      </w:r>
    </w:p>
    <w:p w:rsidR="00735E4B" w:rsidRPr="00283872"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finding that a registered trademark is functional means that the trademark cannot be protected </w:t>
      </w:r>
      <w:r>
        <w:rPr>
          <w:rFonts w:ascii="Times New Roman" w:eastAsia="Times New Roman" w:hAnsi="Times New Roman" w:cs="Times New Roman"/>
          <w:i/>
          <w:sz w:val="26"/>
          <w:szCs w:val="26"/>
        </w:rPr>
        <w:t>as</w:t>
      </w:r>
      <w:r>
        <w:rPr>
          <w:rFonts w:ascii="Times New Roman" w:eastAsia="Times New Roman" w:hAnsi="Times New Roman" w:cs="Times New Roman"/>
          <w:sz w:val="26"/>
          <w:szCs w:val="26"/>
        </w:rPr>
        <w:t xml:space="preserve"> a trademark, and a jury finding a registration subject to cancellation on this ground therefore should not evaluate whether the plaintiff has proven valid rights to the claimed trademark independent of the registration. </w:t>
      </w:r>
      <w:r>
        <w:rPr>
          <w:rFonts w:ascii="Times New Roman" w:eastAsia="Times New Roman" w:hAnsi="Times New Roman" w:cs="Times New Roman"/>
          <w:i/>
          <w:sz w:val="26"/>
          <w:szCs w:val="26"/>
        </w:rPr>
        <w:t>See Dippin’ Dots, Inc. v. Frosty Bites Distrib., LLC</w:t>
      </w:r>
      <w:r>
        <w:rPr>
          <w:rFonts w:ascii="Times New Roman" w:eastAsia="Times New Roman" w:hAnsi="Times New Roman" w:cs="Times New Roman"/>
          <w:sz w:val="26"/>
          <w:szCs w:val="26"/>
        </w:rPr>
        <w:t>, 369 F.3d 1197, 1206-07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2004). Under limited circumstances, however, a defendant’s use of a functional designation can lead to liability for the tort of passing off. </w:t>
      </w:r>
      <w:r>
        <w:rPr>
          <w:rFonts w:ascii="Times New Roman" w:eastAsia="Times New Roman" w:hAnsi="Times New Roman" w:cs="Times New Roman"/>
          <w:i/>
          <w:sz w:val="26"/>
          <w:szCs w:val="26"/>
        </w:rPr>
        <w:t>See, e.g.</w:t>
      </w:r>
      <w:r w:rsidRPr="0002129F">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Kellogg Co. v. Nat’l Biscuit Co.</w:t>
      </w:r>
      <w:r>
        <w:rPr>
          <w:rFonts w:ascii="Times New Roman" w:eastAsia="Times New Roman" w:hAnsi="Times New Roman" w:cs="Times New Roman"/>
          <w:sz w:val="26"/>
          <w:szCs w:val="26"/>
        </w:rPr>
        <w:t>, 305 U.S. 111, 120, 59 S. Ct. 109, 120, 83 L. Ed. 2d 73 (1938).</w:t>
      </w:r>
    </w:p>
    <w:p w:rsidR="00735E4B" w:rsidRPr="00283872"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functionality doctrine prevents trademark law, which seeks to promote competition, from instead inhibiting legitimate competition. </w:t>
      </w:r>
      <w:r>
        <w:rPr>
          <w:rFonts w:ascii="Times New Roman" w:eastAsia="Times New Roman" w:hAnsi="Times New Roman" w:cs="Times New Roman"/>
          <w:i/>
          <w:sz w:val="26"/>
          <w:szCs w:val="26"/>
        </w:rPr>
        <w:t>See TrafFix Devices, Inc. v. Mktg. Displays, Inc.</w:t>
      </w:r>
      <w:r>
        <w:rPr>
          <w:rFonts w:ascii="Times New Roman" w:eastAsia="Times New Roman" w:hAnsi="Times New Roman" w:cs="Times New Roman"/>
          <w:sz w:val="26"/>
          <w:szCs w:val="26"/>
        </w:rPr>
        <w:t xml:space="preserve">, 532 U.S. 23, 32-33, 121 S. Ct. 1255, 1261-62 149 L. Ed. 2d 164 (2001); </w:t>
      </w:r>
      <w:r>
        <w:rPr>
          <w:rFonts w:ascii="Times New Roman" w:eastAsia="Times New Roman" w:hAnsi="Times New Roman" w:cs="Times New Roman"/>
          <w:i/>
          <w:sz w:val="26"/>
          <w:szCs w:val="26"/>
        </w:rPr>
        <w:t>Qualitex Co. v. Jacobson Prods. Co.</w:t>
      </w:r>
      <w:r>
        <w:rPr>
          <w:rFonts w:ascii="Times New Roman" w:eastAsia="Times New Roman" w:hAnsi="Times New Roman" w:cs="Times New Roman"/>
          <w:sz w:val="26"/>
          <w:szCs w:val="26"/>
        </w:rPr>
        <w:t xml:space="preserve">, 514 U.S. 159, 164, 115 S. Ct. 1300, 1304, 131 L. Ed. 2d 248 (1995); </w:t>
      </w:r>
      <w:r>
        <w:rPr>
          <w:rFonts w:ascii="Times New Roman" w:eastAsia="Times New Roman" w:hAnsi="Times New Roman" w:cs="Times New Roman"/>
          <w:i/>
          <w:sz w:val="26"/>
          <w:szCs w:val="26"/>
        </w:rPr>
        <w:t>Dippin’ Dots</w:t>
      </w:r>
      <w:r>
        <w:rPr>
          <w:rFonts w:ascii="Times New Roman" w:eastAsia="Times New Roman" w:hAnsi="Times New Roman" w:cs="Times New Roman"/>
          <w:sz w:val="26"/>
          <w:szCs w:val="26"/>
        </w:rPr>
        <w:t xml:space="preserve">, 369 F.3d at 1202-03; </w:t>
      </w:r>
      <w:r>
        <w:rPr>
          <w:rFonts w:ascii="Times New Roman" w:eastAsia="Times New Roman" w:hAnsi="Times New Roman" w:cs="Times New Roman"/>
          <w:i/>
          <w:sz w:val="26"/>
          <w:szCs w:val="26"/>
        </w:rPr>
        <w:t>Elmer v. ICC Fabricating, Inc.</w:t>
      </w:r>
      <w:r>
        <w:rPr>
          <w:rFonts w:ascii="Times New Roman" w:eastAsia="Times New Roman" w:hAnsi="Times New Roman" w:cs="Times New Roman"/>
          <w:sz w:val="26"/>
          <w:szCs w:val="26"/>
        </w:rPr>
        <w:t xml:space="preserve">, 67 F.3d 1571, 1579-80 (Fed. Cir. 1995) (applying Eleventh Circuit law); </w:t>
      </w:r>
      <w:r>
        <w:rPr>
          <w:rFonts w:ascii="Times New Roman" w:eastAsia="Times New Roman" w:hAnsi="Times New Roman" w:cs="Times New Roman"/>
          <w:i/>
          <w:sz w:val="26"/>
          <w:szCs w:val="26"/>
        </w:rPr>
        <w:t>AmBrit, Inc. v. Kraft, Inc.</w:t>
      </w:r>
      <w:r>
        <w:rPr>
          <w:rFonts w:ascii="Times New Roman" w:eastAsia="Times New Roman" w:hAnsi="Times New Roman" w:cs="Times New Roman"/>
          <w:sz w:val="26"/>
          <w:szCs w:val="26"/>
        </w:rPr>
        <w:t>, 812 F.2d 1531, 1538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1986). The requirement that a trademark be nonfunctional in the utilitarian sense is often regarded as necessary to maintain the distinction between possibly perpetual trademark protection and the temporally limited protection available under federal utility patent law. </w:t>
      </w:r>
      <w:r>
        <w:rPr>
          <w:rFonts w:ascii="Times New Roman" w:eastAsia="Times New Roman" w:hAnsi="Times New Roman" w:cs="Times New Roman"/>
          <w:i/>
          <w:sz w:val="26"/>
          <w:szCs w:val="26"/>
        </w:rPr>
        <w:t>See TrafFix Devices</w:t>
      </w:r>
      <w:r>
        <w:rPr>
          <w:rFonts w:ascii="Times New Roman" w:eastAsia="Times New Roman" w:hAnsi="Times New Roman" w:cs="Times New Roman"/>
          <w:sz w:val="26"/>
          <w:szCs w:val="26"/>
        </w:rPr>
        <w:t>, 532 U.S. at 34, 121 S. Ct. at 1262, 149 L. Ed. 2d 164 (“The Lanham Act does not exist to reward manufacturers for their innovation in creating a particular device; that is the purpose of the patent law and its period of exclusivity.”).</w:t>
      </w:r>
    </w:p>
    <w:p w:rsidR="00735E4B" w:rsidRPr="00283872"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 least some Circuit case law, however, suggests that the requirement has </w:t>
      </w:r>
      <w:r>
        <w:rPr>
          <w:rFonts w:ascii="Times New Roman" w:eastAsia="Times New Roman" w:hAnsi="Times New Roman" w:cs="Times New Roman"/>
          <w:sz w:val="26"/>
          <w:szCs w:val="26"/>
        </w:rPr>
        <w:lastRenderedPageBreak/>
        <w:t xml:space="preserve">constitutional dimensions. </w:t>
      </w:r>
      <w:r>
        <w:rPr>
          <w:rFonts w:ascii="Times New Roman" w:eastAsia="Times New Roman" w:hAnsi="Times New Roman" w:cs="Times New Roman"/>
          <w:i/>
          <w:sz w:val="26"/>
          <w:szCs w:val="26"/>
        </w:rPr>
        <w:t>See, e.g.</w:t>
      </w:r>
      <w:r w:rsidRPr="0002129F">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Wilhelm Pudenz GmbH v. Littlefuse, Inc.</w:t>
      </w:r>
      <w:r>
        <w:rPr>
          <w:rFonts w:ascii="Times New Roman" w:eastAsia="Times New Roman" w:hAnsi="Times New Roman" w:cs="Times New Roman"/>
          <w:sz w:val="26"/>
          <w:szCs w:val="26"/>
        </w:rPr>
        <w:t>, 177 F.3d 1204, 1208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1999) (“[W]hen the operation of the Lanham Act would upset the balance struck by the Patent Act, the Lanham Act must yield. The functionality doctrine serves this purpose by eliminating the possibility of a perpetual exclusive right to the utilitarian features of a product under trademark law, which would be impossible (as well as unconstitutional) under the Patent Act.”); </w:t>
      </w:r>
      <w:r>
        <w:rPr>
          <w:rFonts w:ascii="Times New Roman" w:eastAsia="Times New Roman" w:hAnsi="Times New Roman" w:cs="Times New Roman"/>
          <w:i/>
          <w:sz w:val="26"/>
          <w:szCs w:val="26"/>
        </w:rPr>
        <w:t>cf. B.H. Bunn Co. v. AAA Replacement Parts Co.</w:t>
      </w:r>
      <w:r>
        <w:rPr>
          <w:rFonts w:ascii="Times New Roman" w:eastAsia="Times New Roman" w:hAnsi="Times New Roman" w:cs="Times New Roman"/>
          <w:sz w:val="26"/>
          <w:szCs w:val="26"/>
        </w:rPr>
        <w:t>, 451 F.2d, 1254, 1254, 1258-59 (5</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1971) (“It runs counter to federal purposes, and perhaps borders on the unconstitutional, for a state to prolong or to create any trade monopoly, to an originator [of a useful article] by forbidding the production of copies under the rubric of unfair competition.”).</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instruction bearing on this ground for cancellation contemplates two different tests for functionality. The first test is most commonly applied when the claim of functionality or nonfunctionality bears on the utilitarian characteristics of the trademark sought to be protected. It has its origins in the Court of Customs and Patent Appeals’ decision in </w:t>
      </w:r>
      <w:r>
        <w:rPr>
          <w:rFonts w:ascii="Times New Roman" w:eastAsia="Times New Roman" w:hAnsi="Times New Roman" w:cs="Times New Roman"/>
          <w:i/>
          <w:sz w:val="26"/>
          <w:szCs w:val="26"/>
        </w:rPr>
        <w:t>In re Morton-Norwich Prods.</w:t>
      </w:r>
      <w:r>
        <w:rPr>
          <w:rFonts w:ascii="Times New Roman" w:eastAsia="Times New Roman" w:hAnsi="Times New Roman" w:cs="Times New Roman"/>
          <w:sz w:val="26"/>
          <w:szCs w:val="26"/>
        </w:rPr>
        <w:t xml:space="preserve">, 671 F.2d 1332, 1336 (C.C.P.A. 1982), and is consistent with the approach taken by such </w:t>
      </w:r>
      <w:r w:rsidR="00830A14">
        <w:rPr>
          <w:rFonts w:ascii="Times New Roman" w:eastAsia="Times New Roman" w:hAnsi="Times New Roman" w:cs="Times New Roman"/>
          <w:sz w:val="26"/>
          <w:szCs w:val="26"/>
        </w:rPr>
        <w:t>decisions</w:t>
      </w:r>
      <w:r>
        <w:rPr>
          <w:rFonts w:ascii="Times New Roman" w:eastAsia="Times New Roman" w:hAnsi="Times New Roman" w:cs="Times New Roman"/>
          <w:sz w:val="26"/>
          <w:szCs w:val="26"/>
        </w:rPr>
        <w:t xml:space="preserve"> as </w:t>
      </w:r>
      <w:r>
        <w:rPr>
          <w:rFonts w:ascii="Times New Roman" w:eastAsia="Times New Roman" w:hAnsi="Times New Roman" w:cs="Times New Roman"/>
          <w:i/>
          <w:sz w:val="26"/>
          <w:szCs w:val="26"/>
        </w:rPr>
        <w:t>Dippin’ Dots</w:t>
      </w:r>
      <w:r>
        <w:rPr>
          <w:rFonts w:ascii="Times New Roman" w:eastAsia="Times New Roman" w:hAnsi="Times New Roman" w:cs="Times New Roman"/>
          <w:sz w:val="26"/>
          <w:szCs w:val="26"/>
        </w:rPr>
        <w:t xml:space="preserve">, 369 F.3d at 1203, </w:t>
      </w:r>
      <w:r>
        <w:rPr>
          <w:rFonts w:ascii="Times New Roman" w:eastAsia="Times New Roman" w:hAnsi="Times New Roman" w:cs="Times New Roman"/>
          <w:i/>
          <w:sz w:val="26"/>
          <w:szCs w:val="26"/>
        </w:rPr>
        <w:t>Elmer</w:t>
      </w:r>
      <w:r>
        <w:rPr>
          <w:rFonts w:ascii="Times New Roman" w:eastAsia="Times New Roman" w:hAnsi="Times New Roman" w:cs="Times New Roman"/>
          <w:sz w:val="26"/>
          <w:szCs w:val="26"/>
        </w:rPr>
        <w:t xml:space="preserve">, 67 F.3d at 1579-80 (applying Eleventh Circuit law), and </w:t>
      </w:r>
      <w:r>
        <w:rPr>
          <w:rFonts w:ascii="Times New Roman" w:eastAsia="Times New Roman" w:hAnsi="Times New Roman" w:cs="Times New Roman"/>
          <w:i/>
          <w:sz w:val="26"/>
          <w:szCs w:val="26"/>
        </w:rPr>
        <w:t>J.R. Clark Co. v. Murray Metal Prods. Co.</w:t>
      </w:r>
      <w:r>
        <w:rPr>
          <w:rFonts w:ascii="Times New Roman" w:eastAsia="Times New Roman" w:hAnsi="Times New Roman" w:cs="Times New Roman"/>
          <w:sz w:val="26"/>
          <w:szCs w:val="26"/>
        </w:rPr>
        <w:t>, 219 F.2d 313, 320 (5</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1955). The second test is most commonly applied when the claim of functionality or nonfunctionality bears on the aesthetic characteristics of the trademark sought to be protected. </w:t>
      </w:r>
      <w:r>
        <w:rPr>
          <w:rFonts w:ascii="Times New Roman" w:eastAsia="Times New Roman" w:hAnsi="Times New Roman" w:cs="Times New Roman"/>
          <w:i/>
          <w:sz w:val="26"/>
          <w:szCs w:val="26"/>
        </w:rPr>
        <w:t>See Dippin’ Dots</w:t>
      </w:r>
      <w:r>
        <w:rPr>
          <w:rFonts w:ascii="Times New Roman" w:eastAsia="Times New Roman" w:hAnsi="Times New Roman" w:cs="Times New Roman"/>
          <w:sz w:val="26"/>
          <w:szCs w:val="26"/>
        </w:rPr>
        <w:t xml:space="preserve">, 369 F.3d at 1203 (“[T]he second test… is commonly called the competitive necessity test and generally applied in cases of aesthetic functionality…”). It has its origins in </w:t>
      </w:r>
      <w:r>
        <w:rPr>
          <w:rFonts w:ascii="Times New Roman" w:eastAsia="Times New Roman" w:hAnsi="Times New Roman" w:cs="Times New Roman"/>
          <w:i/>
          <w:sz w:val="26"/>
          <w:szCs w:val="26"/>
        </w:rPr>
        <w:t>Qualitex</w:t>
      </w:r>
      <w:r>
        <w:rPr>
          <w:rFonts w:ascii="Times New Roman" w:eastAsia="Times New Roman" w:hAnsi="Times New Roman" w:cs="Times New Roman"/>
          <w:sz w:val="26"/>
          <w:szCs w:val="26"/>
        </w:rPr>
        <w:t xml:space="preserve">, 514 U.S. at 164, 115 S. Ct. at 1304, 131 L. Ed. 2d 248. The two are not mutually exclusive, and, indeed, some courts have applied both in the same litigation. </w:t>
      </w:r>
      <w:r>
        <w:rPr>
          <w:rFonts w:ascii="Times New Roman" w:eastAsia="Times New Roman" w:hAnsi="Times New Roman" w:cs="Times New Roman"/>
          <w:i/>
          <w:sz w:val="26"/>
          <w:szCs w:val="26"/>
        </w:rPr>
        <w:t>See, e.g.</w:t>
      </w:r>
      <w:r w:rsidRPr="0002129F">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Dippin’ Dots</w:t>
      </w:r>
      <w:r>
        <w:rPr>
          <w:rFonts w:ascii="Times New Roman" w:eastAsia="Times New Roman" w:hAnsi="Times New Roman" w:cs="Times New Roman"/>
          <w:sz w:val="26"/>
          <w:szCs w:val="26"/>
        </w:rPr>
        <w:t>, 369 F.3d at 1203-04, 1206-07.</w:t>
      </w:r>
    </w:p>
    <w:p w:rsidR="00735E4B" w:rsidRDefault="00735E4B" w:rsidP="00447EAA">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registered trademark has been abandoned through non-use or failure to police:</w:t>
      </w:r>
    </w:p>
    <w:p w:rsidR="00735E4B" w:rsidRPr="00283872"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basis of this ground for cancellation is Section 14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61" w:author="Author" w:original="(3)"/>
        </w:fldChar>
      </w:r>
      <w:r>
        <w:rPr>
          <w:rFonts w:ascii="Times New Roman" w:eastAsia="Times New Roman" w:hAnsi="Times New Roman" w:cs="Times New Roman"/>
          <w:sz w:val="26"/>
          <w:szCs w:val="26"/>
        </w:rPr>
        <w:t xml:space="preserve"> of the Lanham Act, 15 U.S.C.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62" w:author="Author" w:original="(3)"/>
        </w:fldChar>
      </w:r>
      <w:r>
        <w:rPr>
          <w:rFonts w:ascii="Times New Roman" w:eastAsia="Times New Roman" w:hAnsi="Times New Roman" w:cs="Times New Roman"/>
          <w:sz w:val="26"/>
          <w:szCs w:val="26"/>
        </w:rPr>
        <w:t xml:space="preserve"> (20</w:t>
      </w:r>
      <w:r w:rsidR="00830A14">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It may be asserted against a registration that has reached the fifth anniversary of its issuance.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63" w:author="Author" w:original="(3)"/>
        </w:fldChar>
      </w:r>
      <w:r>
        <w:rPr>
          <w:rFonts w:ascii="Times New Roman" w:eastAsia="Times New Roman" w:hAnsi="Times New Roman" w:cs="Times New Roman"/>
          <w:sz w:val="26"/>
          <w:szCs w:val="26"/>
        </w:rPr>
        <w:t xml:space="preserve">. The existence or nonexistence of acquired distinctiveness, or “secondary meaning,” is irrelevant to this ground for cancellation,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6. </w:instrText>
      </w:r>
      <w:r>
        <w:rPr>
          <w:rFonts w:ascii="Times New Roman" w:eastAsia="Times New Roman" w:hAnsi="Times New Roman" w:cs="Times New Roman"/>
          <w:sz w:val="26"/>
          <w:szCs w:val="26"/>
        </w:rPr>
        <w:fldChar w:fldCharType="end">
          <w:numberingChange w:id="64" w:author="Author" w:original="(f)"/>
        </w:fldChar>
      </w:r>
      <w:r>
        <w:rPr>
          <w:rFonts w:ascii="Times New Roman" w:eastAsia="Times New Roman" w:hAnsi="Times New Roman" w:cs="Times New Roman"/>
          <w:sz w:val="26"/>
          <w:szCs w:val="26"/>
        </w:rPr>
        <w:t>, and a defendant pursuing it therefore need not prove the absence of acquired distinctiveness to prevail.</w:t>
      </w:r>
    </w:p>
    <w:p w:rsidR="00735E4B" w:rsidRPr="00284FDF"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finding that a registered trademark has been abandoned means that the registration is subject to cancellation and that the plaintiff no longer has valid rights as of the date of abandonment. Nevertheless, because the plaintiff may have acquired new rights to its trademark by resuming the use of its trademark after the initial abandonment took place, a jury finding that a registration is subject to cancellation on this ground is not dispositive of the plaintiff’s rights, and the jury therefore evaluate whether the plaintiff has proven valid rights to the claimed trademark independent of the registration. The plaintiff’s resumption of a trademark’s use after abandonment will not allow the plaintiff </w:t>
      </w:r>
      <w:r>
        <w:rPr>
          <w:rFonts w:ascii="Times New Roman" w:eastAsia="Times New Roman" w:hAnsi="Times New Roman" w:cs="Times New Roman"/>
          <w:sz w:val="26"/>
          <w:szCs w:val="26"/>
        </w:rPr>
        <w:lastRenderedPageBreak/>
        <w:t xml:space="preserve">to claim valid rights that date back to its original use; rather, the new rights will date only from the resumed use. </w:t>
      </w:r>
      <w:r>
        <w:rPr>
          <w:rFonts w:ascii="Times New Roman" w:eastAsia="Times New Roman" w:hAnsi="Times New Roman" w:cs="Times New Roman"/>
          <w:i/>
          <w:sz w:val="26"/>
          <w:szCs w:val="26"/>
        </w:rPr>
        <w:t>See generally AmBrit, Inc. v. Kraft, Inc.</w:t>
      </w:r>
      <w:r>
        <w:rPr>
          <w:rFonts w:ascii="Times New Roman" w:eastAsia="Times New Roman" w:hAnsi="Times New Roman" w:cs="Times New Roman"/>
          <w:sz w:val="26"/>
          <w:szCs w:val="26"/>
        </w:rPr>
        <w:t>, 812 F.2d 1531, 1549-50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1986).</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Eleventh Circuit case law suggests that a defendant alleging that a plaintiff has abandoned its trademark faces a high burden: “[T]he burden a defendant bears on the affirmative defense of abandonment is, in fact, ‘strict.’ Because a finding of abandonment works an involuntary forfeiture of rights, federal courts uniformly agree that defendants asserting an abandonment defense face a ‘stringent,’ ‘heavy,’ or ‘strict burden of proof.’” </w:t>
      </w:r>
      <w:r>
        <w:rPr>
          <w:rFonts w:ascii="Times New Roman" w:eastAsia="Times New Roman" w:hAnsi="Times New Roman" w:cs="Times New Roman"/>
          <w:i/>
          <w:sz w:val="26"/>
          <w:szCs w:val="26"/>
        </w:rPr>
        <w:t>Cumulus Media, Inc. v. Clear Channel Commc’ns, Inc.</w:t>
      </w:r>
      <w:r>
        <w:rPr>
          <w:rFonts w:ascii="Times New Roman" w:eastAsia="Times New Roman" w:hAnsi="Times New Roman" w:cs="Times New Roman"/>
          <w:sz w:val="26"/>
          <w:szCs w:val="26"/>
        </w:rPr>
        <w:t>, 304 F.3d 1167, 1174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2002) (citation omitted) (footnote omitted); </w:t>
      </w:r>
      <w:r>
        <w:rPr>
          <w:rFonts w:ascii="Times New Roman" w:eastAsia="Times New Roman" w:hAnsi="Times New Roman" w:cs="Times New Roman"/>
          <w:i/>
          <w:sz w:val="26"/>
          <w:szCs w:val="26"/>
        </w:rPr>
        <w:t>see also Conagra, Inc. v. Singleton</w:t>
      </w:r>
      <w:r>
        <w:rPr>
          <w:rFonts w:ascii="Times New Roman" w:eastAsia="Times New Roman" w:hAnsi="Times New Roman" w:cs="Times New Roman"/>
          <w:sz w:val="26"/>
          <w:szCs w:val="26"/>
        </w:rPr>
        <w:t>, 743 F.2d 1508, 1516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1984) (“The defense of abandonment is one for which we require strict proof.”); </w:t>
      </w:r>
      <w:r>
        <w:rPr>
          <w:rFonts w:ascii="Times New Roman" w:eastAsia="Times New Roman" w:hAnsi="Times New Roman" w:cs="Times New Roman"/>
          <w:i/>
          <w:sz w:val="26"/>
          <w:szCs w:val="26"/>
        </w:rPr>
        <w:t>Citibank, N.A. v. Citibanc Grp.</w:t>
      </w:r>
      <w:r>
        <w:rPr>
          <w:rFonts w:ascii="Times New Roman" w:eastAsia="Times New Roman" w:hAnsi="Times New Roman" w:cs="Times New Roman"/>
          <w:sz w:val="26"/>
          <w:szCs w:val="26"/>
        </w:rPr>
        <w:t>, 724 F.2d 1540, 1545 (11</w:t>
      </w:r>
      <w:r w:rsidR="00830A14">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1984) (affirming finding that defendants had failed to carry the “strict burden of proof applicable to abandonment claims”). The court has not, however, expressly held that abandonment must be shown by clear and convincing evidence.</w:t>
      </w:r>
    </w:p>
    <w:p w:rsidR="00735E4B" w:rsidRDefault="00735E4B" w:rsidP="00447EAA">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registered trademark has been abandoned through uncontrolled, or “naked,” licensing:</w:t>
      </w:r>
    </w:p>
    <w:p w:rsidR="00735E4B" w:rsidRPr="00283872"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basis of this ground for cancellation is Section 14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65" w:author="Author" w:original="(3)"/>
        </w:fldChar>
      </w:r>
      <w:r>
        <w:rPr>
          <w:rFonts w:ascii="Times New Roman" w:eastAsia="Times New Roman" w:hAnsi="Times New Roman" w:cs="Times New Roman"/>
          <w:sz w:val="26"/>
          <w:szCs w:val="26"/>
        </w:rPr>
        <w:t xml:space="preserve"> of the Lanham Act, 15 U.S.C.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66" w:author="Author" w:original="(3)"/>
        </w:fldChar>
      </w:r>
      <w:r>
        <w:rPr>
          <w:rFonts w:ascii="Times New Roman" w:eastAsia="Times New Roman" w:hAnsi="Times New Roman" w:cs="Times New Roman"/>
          <w:sz w:val="26"/>
          <w:szCs w:val="26"/>
        </w:rPr>
        <w:t xml:space="preserve"> (20</w:t>
      </w:r>
      <w:r w:rsidR="004E458D">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It may be asserted against a registration that has reached the fifth anniversary of its issuance.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Cancellation of a registration on this ground prevents the former registrant from establishing valid rights to its mark as of the date of abandonment but does not prevent the plaintiff from potentially cultivating new rights dating from its resumption of the mark’s use.</w:t>
      </w:r>
    </w:p>
    <w:p w:rsidR="00735E4B" w:rsidRPr="00714F3D"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Few courts have addressed the issue of abandonment through uncontrolled licensing in the registration context. Outside of that context, however, the invalidation of rights under this theory requires a showing that the trademark owner failed to exercise control over the nature and quality of the goods provided by the licensee under the licensor’s mark. </w:t>
      </w:r>
      <w:r>
        <w:rPr>
          <w:rFonts w:ascii="Times New Roman" w:eastAsia="Times New Roman" w:hAnsi="Times New Roman" w:cs="Times New Roman"/>
          <w:i/>
          <w:sz w:val="26"/>
          <w:szCs w:val="26"/>
        </w:rPr>
        <w:t>See generally Eva’s Bridal Ltd. v. Halanick Enters.</w:t>
      </w:r>
      <w:r>
        <w:rPr>
          <w:rFonts w:ascii="Times New Roman" w:eastAsia="Times New Roman" w:hAnsi="Times New Roman" w:cs="Times New Roman"/>
          <w:sz w:val="26"/>
          <w:szCs w:val="26"/>
        </w:rPr>
        <w:t>, 639 F.3d 788 (7</w:t>
      </w:r>
      <w:r w:rsidR="004E458D">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2011); </w:t>
      </w:r>
      <w:r>
        <w:rPr>
          <w:rFonts w:ascii="Times New Roman" w:eastAsia="Times New Roman" w:hAnsi="Times New Roman" w:cs="Times New Roman"/>
          <w:i/>
          <w:sz w:val="26"/>
          <w:szCs w:val="26"/>
        </w:rPr>
        <w:t>FreecycleSunnyvale v. Freecycle Network</w:t>
      </w:r>
      <w:r>
        <w:rPr>
          <w:rFonts w:ascii="Times New Roman" w:eastAsia="Times New Roman" w:hAnsi="Times New Roman" w:cs="Times New Roman"/>
          <w:sz w:val="26"/>
          <w:szCs w:val="26"/>
        </w:rPr>
        <w:t>, 626 F.3d 509 (9</w:t>
      </w:r>
      <w:r w:rsidR="004E458D">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2010). Thus, for example, in </w:t>
      </w:r>
      <w:r>
        <w:rPr>
          <w:rFonts w:ascii="Times New Roman" w:eastAsia="Times New Roman" w:hAnsi="Times New Roman" w:cs="Times New Roman"/>
          <w:i/>
          <w:sz w:val="26"/>
          <w:szCs w:val="26"/>
        </w:rPr>
        <w:t xml:space="preserve">Crystal Entm’t </w:t>
      </w:r>
      <w:r w:rsidR="00820515">
        <w:rPr>
          <w:rFonts w:ascii="Times New Roman" w:eastAsia="Times New Roman" w:hAnsi="Times New Roman" w:cs="Times New Roman"/>
          <w:i/>
          <w:sz w:val="26"/>
          <w:szCs w:val="26"/>
        </w:rPr>
        <w:t>&amp;</w:t>
      </w:r>
      <w:r>
        <w:rPr>
          <w:rFonts w:ascii="Times New Roman" w:eastAsia="Times New Roman" w:hAnsi="Times New Roman" w:cs="Times New Roman"/>
          <w:i/>
          <w:sz w:val="26"/>
          <w:szCs w:val="26"/>
        </w:rPr>
        <w:t xml:space="preserve"> Filmworks, Inc. v. Jurado</w:t>
      </w:r>
      <w:r>
        <w:rPr>
          <w:rFonts w:ascii="Times New Roman" w:eastAsia="Times New Roman" w:hAnsi="Times New Roman" w:cs="Times New Roman"/>
          <w:sz w:val="26"/>
          <w:szCs w:val="26"/>
        </w:rPr>
        <w:t>, 643 F.3d 1313 (11</w:t>
      </w:r>
      <w:r w:rsidR="004E458D">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2011), although not referring to the naked license doctrine by name, the court affirmed a finding that the defendants, although once licensees of the plaintiff, had become the owners of the service mark covered by the license because they, rather than the licensor, controlled the quality of the services provided under it.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at 1323.</w:t>
      </w:r>
    </w:p>
    <w:p w:rsidR="00735E4B"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ground for cancellation may not be available in cases in which the licensee is the party asserting it, unless the conduct underlying the assertion of the ground occurred after the expiration of the license. </w:t>
      </w:r>
      <w:r>
        <w:rPr>
          <w:rFonts w:ascii="Times New Roman" w:eastAsia="Times New Roman" w:hAnsi="Times New Roman" w:cs="Times New Roman"/>
          <w:i/>
          <w:sz w:val="26"/>
          <w:szCs w:val="26"/>
        </w:rPr>
        <w:t>See generally Prof’l Golfers Ass’n v. Bankers Life &amp; Cas. Co.</w:t>
      </w:r>
      <w:r>
        <w:rPr>
          <w:rFonts w:ascii="Times New Roman" w:eastAsia="Times New Roman" w:hAnsi="Times New Roman" w:cs="Times New Roman"/>
          <w:sz w:val="26"/>
          <w:szCs w:val="26"/>
        </w:rPr>
        <w:t>, 514 F.2d 665, 671 (5</w:t>
      </w:r>
      <w:r w:rsidR="004E458D">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1975).</w:t>
      </w:r>
    </w:p>
    <w:p w:rsidR="00735E4B" w:rsidRDefault="00735E4B" w:rsidP="00447EAA">
      <w:pPr>
        <w:spacing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The registration of the trademark was procured or maintained fraudulently:</w:t>
      </w:r>
    </w:p>
    <w:p w:rsidR="00735E4B" w:rsidRPr="00283872"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statutory basis of this ground for cancellation is Section 14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67" w:author="Author" w:original="(3)"/>
        </w:fldChar>
      </w:r>
      <w:r>
        <w:rPr>
          <w:rFonts w:ascii="Times New Roman" w:eastAsia="Times New Roman" w:hAnsi="Times New Roman" w:cs="Times New Roman"/>
          <w:sz w:val="26"/>
          <w:szCs w:val="26"/>
        </w:rPr>
        <w:t xml:space="preserve"> of the Lanham Act, 15 U.S.C.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68" w:author="Author" w:original="(3)"/>
        </w:fldChar>
      </w:r>
      <w:r>
        <w:rPr>
          <w:rFonts w:ascii="Times New Roman" w:eastAsia="Times New Roman" w:hAnsi="Times New Roman" w:cs="Times New Roman"/>
          <w:sz w:val="26"/>
          <w:szCs w:val="26"/>
        </w:rPr>
        <w:t xml:space="preserve"> (20</w:t>
      </w:r>
      <w:r w:rsidR="004E458D">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although that statute expressly authorizes the cancellation “at any time” only of registrations that were “obtained fraudulently,” interpretations of it have held that it reaches the maintenance of registrations through fraudulent filings. </w:t>
      </w:r>
      <w:r>
        <w:rPr>
          <w:rFonts w:ascii="Times New Roman" w:eastAsia="Times New Roman" w:hAnsi="Times New Roman" w:cs="Times New Roman"/>
          <w:i/>
          <w:sz w:val="26"/>
          <w:szCs w:val="26"/>
        </w:rPr>
        <w:t>See, e.g., Torres v. Cantine Torresella S.r.l.</w:t>
      </w:r>
      <w:r>
        <w:rPr>
          <w:rFonts w:ascii="Times New Roman" w:eastAsia="Times New Roman" w:hAnsi="Times New Roman" w:cs="Times New Roman"/>
          <w:sz w:val="26"/>
          <w:szCs w:val="26"/>
        </w:rPr>
        <w:t>, 808 F.2d 46, 48 (Fed. Cir. 1986) (upholding cancellation of fraudulently renewed, rather than fraudulently obtained, registration on ground that “[f]raud in obtaining renewal of a registration amounts to fraud in obtaining a registration within the meaning of [15 U.S.C.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69" w:author="Author" w:original="(3)"/>
        </w:fldChar>
      </w:r>
      <w:r>
        <w:rPr>
          <w:rFonts w:ascii="Times New Roman" w:eastAsia="Times New Roman" w:hAnsi="Times New Roman" w:cs="Times New Roman"/>
          <w:sz w:val="26"/>
          <w:szCs w:val="26"/>
        </w:rPr>
        <w:t xml:space="preserve">].”). This ground for cancellation may be asserted against a registration that has reached the fifth anniversary of its issuance. </w:t>
      </w:r>
      <w:r>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15 U.S.C. § 1064</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4 \s 3 </w:instrText>
      </w:r>
      <w:r>
        <w:rPr>
          <w:rFonts w:ascii="Times New Roman" w:eastAsia="Times New Roman" w:hAnsi="Times New Roman" w:cs="Times New Roman"/>
          <w:sz w:val="26"/>
          <w:szCs w:val="26"/>
        </w:rPr>
        <w:fldChar w:fldCharType="end">
          <w:numberingChange w:id="70" w:author="Author" w:original="(3)"/>
        </w:fldChar>
      </w:r>
      <w:r>
        <w:rPr>
          <w:rFonts w:ascii="Times New Roman" w:eastAsia="Times New Roman" w:hAnsi="Times New Roman" w:cs="Times New Roman"/>
          <w:sz w:val="26"/>
          <w:szCs w:val="26"/>
        </w:rPr>
        <w:t xml:space="preserve">. The existence or nonexistence of acquired distinctiveness, or “secondary meaning,” is irrelevant to this ground for cancellation, and a defendant pursuing it therefore need not prove the absence of acquired distinctiveness to prevail. </w:t>
      </w:r>
      <w:r>
        <w:rPr>
          <w:rFonts w:ascii="Times New Roman" w:eastAsia="Times New Roman" w:hAnsi="Times New Roman" w:cs="Times New Roman"/>
          <w:i/>
          <w:sz w:val="26"/>
          <w:szCs w:val="26"/>
        </w:rPr>
        <w:t>See id</w:t>
      </w:r>
      <w:r>
        <w:rPr>
          <w:rFonts w:ascii="Times New Roman" w:eastAsia="Times New Roman" w:hAnsi="Times New Roman" w:cs="Times New Roman"/>
          <w:sz w:val="26"/>
          <w:szCs w:val="26"/>
        </w:rPr>
        <w:t>. § 1052</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LISTNUM  NumberDefault \l 5 \s 6 </w:instrText>
      </w:r>
      <w:r>
        <w:rPr>
          <w:rFonts w:ascii="Times New Roman" w:eastAsia="Times New Roman" w:hAnsi="Times New Roman" w:cs="Times New Roman"/>
          <w:sz w:val="26"/>
          <w:szCs w:val="26"/>
        </w:rPr>
        <w:fldChar w:fldCharType="end">
          <w:numberingChange w:id="71" w:author="Author" w:original="(f)"/>
        </w:fldChar>
      </w:r>
      <w:r>
        <w:rPr>
          <w:rFonts w:ascii="Times New Roman" w:eastAsia="Times New Roman" w:hAnsi="Times New Roman" w:cs="Times New Roman"/>
          <w:sz w:val="26"/>
          <w:szCs w:val="26"/>
        </w:rPr>
        <w:t>.</w:t>
      </w:r>
    </w:p>
    <w:p w:rsidR="00735E4B" w:rsidRPr="00283872"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Cancellation of a registration on this ground does not prevent the former registrant from establishing rights to its trademark independent of the registration. A jury finding a registration subject to cancellation on this ground therefore should evaluate whether the plaintiff otherwise has proven valid rights to its trademark and, if so, when those rights arose.</w:t>
      </w:r>
    </w:p>
    <w:p w:rsidR="00725167" w:rsidRPr="006E19CC" w:rsidRDefault="00735E4B" w:rsidP="00447EAA">
      <w:pPr>
        <w:spacing w:after="24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test set forth in this instruction is drawn from </w:t>
      </w:r>
      <w:r>
        <w:rPr>
          <w:rFonts w:ascii="Times New Roman" w:eastAsia="Times New Roman" w:hAnsi="Times New Roman" w:cs="Times New Roman"/>
          <w:i/>
          <w:sz w:val="26"/>
          <w:szCs w:val="26"/>
        </w:rPr>
        <w:t>Angel Flight of Ga., Inc. v. Angel Flight Am., Inc.</w:t>
      </w:r>
      <w:r>
        <w:rPr>
          <w:rFonts w:ascii="Times New Roman" w:eastAsia="Times New Roman" w:hAnsi="Times New Roman" w:cs="Times New Roman"/>
          <w:sz w:val="26"/>
          <w:szCs w:val="26"/>
        </w:rPr>
        <w:t>, 522 F.3d 1200, 1210 (11</w:t>
      </w:r>
      <w:r w:rsidR="004E458D">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2008) and </w:t>
      </w:r>
      <w:r>
        <w:rPr>
          <w:rFonts w:ascii="Times New Roman" w:eastAsia="Times New Roman" w:hAnsi="Times New Roman" w:cs="Times New Roman"/>
          <w:i/>
          <w:sz w:val="26"/>
          <w:szCs w:val="26"/>
        </w:rPr>
        <w:t>Citibank, N.A. v. Citibanc Grp.</w:t>
      </w:r>
      <w:r>
        <w:rPr>
          <w:rFonts w:ascii="Times New Roman" w:eastAsia="Times New Roman" w:hAnsi="Times New Roman" w:cs="Times New Roman"/>
          <w:sz w:val="26"/>
          <w:szCs w:val="26"/>
        </w:rPr>
        <w:t>, 724 F.2d 1540, 1544-45 (11</w:t>
      </w:r>
      <w:r w:rsidR="004E458D">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 Cir. 1984).</w:t>
      </w:r>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F4" w:rsidRDefault="001D42F4" w:rsidP="001D42F4">
      <w:pPr>
        <w:spacing w:after="0" w:line="240" w:lineRule="auto"/>
      </w:pPr>
      <w:r>
        <w:separator/>
      </w:r>
    </w:p>
  </w:endnote>
  <w:endnote w:type="continuationSeparator" w:id="0">
    <w:p w:rsidR="001D42F4" w:rsidRDefault="001D42F4" w:rsidP="001D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F4" w:rsidRDefault="001D42F4" w:rsidP="001D42F4">
      <w:pPr>
        <w:spacing w:after="0" w:line="240" w:lineRule="auto"/>
      </w:pPr>
      <w:r>
        <w:separator/>
      </w:r>
    </w:p>
  </w:footnote>
  <w:footnote w:type="continuationSeparator" w:id="0">
    <w:p w:rsidR="001D42F4" w:rsidRDefault="001D42F4" w:rsidP="001D4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2129F"/>
    <w:rsid w:val="00033E23"/>
    <w:rsid w:val="00075AA1"/>
    <w:rsid w:val="000A1C0D"/>
    <w:rsid w:val="000B240A"/>
    <w:rsid w:val="0012451E"/>
    <w:rsid w:val="001672EC"/>
    <w:rsid w:val="001D42F4"/>
    <w:rsid w:val="001E02CA"/>
    <w:rsid w:val="001E17DC"/>
    <w:rsid w:val="001E531F"/>
    <w:rsid w:val="002027BE"/>
    <w:rsid w:val="00227C37"/>
    <w:rsid w:val="00240B28"/>
    <w:rsid w:val="00256E02"/>
    <w:rsid w:val="002840A9"/>
    <w:rsid w:val="00295869"/>
    <w:rsid w:val="002B5D87"/>
    <w:rsid w:val="002B67EE"/>
    <w:rsid w:val="003513DB"/>
    <w:rsid w:val="00381E3F"/>
    <w:rsid w:val="003B5CCB"/>
    <w:rsid w:val="003C6FF2"/>
    <w:rsid w:val="00427B27"/>
    <w:rsid w:val="00447EAA"/>
    <w:rsid w:val="004651BD"/>
    <w:rsid w:val="004C1C78"/>
    <w:rsid w:val="004E458D"/>
    <w:rsid w:val="00503F77"/>
    <w:rsid w:val="00574F61"/>
    <w:rsid w:val="005819CC"/>
    <w:rsid w:val="006070B0"/>
    <w:rsid w:val="00622A65"/>
    <w:rsid w:val="00695E01"/>
    <w:rsid w:val="006C4DCA"/>
    <w:rsid w:val="006E19CC"/>
    <w:rsid w:val="00703AA4"/>
    <w:rsid w:val="00725167"/>
    <w:rsid w:val="00735E4B"/>
    <w:rsid w:val="00737C69"/>
    <w:rsid w:val="0076151A"/>
    <w:rsid w:val="00782A84"/>
    <w:rsid w:val="007A4237"/>
    <w:rsid w:val="007B150F"/>
    <w:rsid w:val="007B74C2"/>
    <w:rsid w:val="007D42A6"/>
    <w:rsid w:val="0081575C"/>
    <w:rsid w:val="00820515"/>
    <w:rsid w:val="00830A14"/>
    <w:rsid w:val="00854FFE"/>
    <w:rsid w:val="008729F0"/>
    <w:rsid w:val="0089546D"/>
    <w:rsid w:val="008A602D"/>
    <w:rsid w:val="008B5673"/>
    <w:rsid w:val="00927349"/>
    <w:rsid w:val="009454D2"/>
    <w:rsid w:val="00956B04"/>
    <w:rsid w:val="0099571C"/>
    <w:rsid w:val="009A03FE"/>
    <w:rsid w:val="009B08F4"/>
    <w:rsid w:val="009E3876"/>
    <w:rsid w:val="00A17554"/>
    <w:rsid w:val="00A32720"/>
    <w:rsid w:val="00A40DC0"/>
    <w:rsid w:val="00A45395"/>
    <w:rsid w:val="00AD447F"/>
    <w:rsid w:val="00AD6A8B"/>
    <w:rsid w:val="00AF2F33"/>
    <w:rsid w:val="00B11E13"/>
    <w:rsid w:val="00B605E7"/>
    <w:rsid w:val="00B76AF3"/>
    <w:rsid w:val="00BA403B"/>
    <w:rsid w:val="00BA604B"/>
    <w:rsid w:val="00BD7417"/>
    <w:rsid w:val="00C014DB"/>
    <w:rsid w:val="00C342AC"/>
    <w:rsid w:val="00C440AF"/>
    <w:rsid w:val="00C473BC"/>
    <w:rsid w:val="00CC586E"/>
    <w:rsid w:val="00DC18AE"/>
    <w:rsid w:val="00DD3EED"/>
    <w:rsid w:val="00E14061"/>
    <w:rsid w:val="00E33549"/>
    <w:rsid w:val="00E35EED"/>
    <w:rsid w:val="00E60CBF"/>
    <w:rsid w:val="00E7659F"/>
    <w:rsid w:val="00E83270"/>
    <w:rsid w:val="00EA10EB"/>
    <w:rsid w:val="00F5350D"/>
    <w:rsid w:val="00F9797A"/>
    <w:rsid w:val="00FA4799"/>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4831</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2017-08-23T14:24:00Z</dcterms:created>
  <dcterms:modified xsi:type="dcterms:W3CDTF">2017-08-23T14:31:00Z</dcterms:modified>
</cp:coreProperties>
</file>