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CCCF" w14:textId="77777777" w:rsidR="00543685" w:rsidRPr="00681690" w:rsidRDefault="00543685" w:rsidP="002A7510">
      <w:pPr>
        <w:spacing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81690">
        <w:rPr>
          <w:rFonts w:ascii="Times New Roman" w:eastAsia="Arial" w:hAnsi="Times New Roman" w:cs="Times New Roman"/>
          <w:b/>
          <w:sz w:val="26"/>
          <w:szCs w:val="26"/>
          <w:u w:val="single"/>
        </w:rPr>
        <w:t>ANNOTATIONS AND COMMENTS</w:t>
      </w:r>
    </w:p>
    <w:p w14:paraId="4559F844" w14:textId="77777777" w:rsidR="00543685" w:rsidRDefault="00543685" w:rsidP="002A751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 U.S.C. § 1125</w:t>
      </w:r>
      <w:r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>
        <w:rPr>
          <w:rFonts w:ascii="Times New Roman" w:eastAsia="Times New Roman" w:hAnsi="Times New Roman" w:cs="Times New Roman"/>
          <w:sz w:val="26"/>
          <w:szCs w:val="26"/>
        </w:rPr>
        <w:instrText xml:space="preserve"> LISTNUM  NumberDefault \l 5 \s 4 </w:instrText>
      </w:r>
      <w:r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>
        <w:rPr>
          <w:rFonts w:ascii="Times New Roman" w:eastAsia="Times New Roman" w:hAnsi="Times New Roman" w:cs="Times New Roman"/>
          <w:sz w:val="26"/>
          <w:szCs w:val="26"/>
        </w:rPr>
        <w:instrText xml:space="preserve"> LISTNUM  NumberDefault \l 4 \s 1 </w:instrText>
      </w:r>
      <w:r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(A) &amp; </w:t>
      </w:r>
      <w:r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>
        <w:rPr>
          <w:rFonts w:ascii="Times New Roman" w:eastAsia="Times New Roman" w:hAnsi="Times New Roman" w:cs="Times New Roman"/>
          <w:sz w:val="26"/>
          <w:szCs w:val="26"/>
        </w:rPr>
        <w:instrText xml:space="preserve"> LISTNUM  NumberDefault \l 5 \s 4 </w:instrText>
      </w:r>
      <w:r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>
        <w:rPr>
          <w:rFonts w:ascii="Times New Roman" w:eastAsia="Times New Roman" w:hAnsi="Times New Roman" w:cs="Times New Roman"/>
          <w:sz w:val="26"/>
          <w:szCs w:val="26"/>
        </w:rPr>
        <w:instrText xml:space="preserve"> LISTNUM  NumberDefault \l 4 \s 3 </w:instrText>
      </w:r>
      <w:r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see also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House Judiciary Committee Report on H.R. 3028, H.R. Rep. No. 106-412, at 15 (Oct. 15, 1999); Senate Section-by-Section Analysis, Cong. Rec., at S14715 (Nov. 17, 1999). A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plaintiff’s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 rem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civil action under the ACPA is in addition to any other civil action otherwise applicable.</w:t>
      </w:r>
    </w:p>
    <w:p w14:paraId="27962517" w14:textId="77777777" w:rsidR="00543685" w:rsidRPr="005F3F81" w:rsidRDefault="00543685" w:rsidP="002A7510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3F81">
        <w:rPr>
          <w:rFonts w:ascii="Times New Roman" w:eastAsia="Calibri" w:hAnsi="Times New Roman" w:cs="Times New Roman"/>
          <w:sz w:val="26"/>
          <w:szCs w:val="26"/>
        </w:rPr>
        <w:t xml:space="preserve">In </w:t>
      </w:r>
      <w:proofErr w:type="spellStart"/>
      <w:r w:rsidRPr="005F3F81">
        <w:rPr>
          <w:rFonts w:ascii="Times New Roman" w:eastAsia="Calibri" w:hAnsi="Times New Roman" w:cs="Times New Roman"/>
          <w:i/>
          <w:sz w:val="26"/>
          <w:szCs w:val="26"/>
        </w:rPr>
        <w:t>Tartell</w:t>
      </w:r>
      <w:proofErr w:type="spellEnd"/>
      <w:r w:rsidRPr="005F3F81">
        <w:rPr>
          <w:rFonts w:ascii="Times New Roman" w:eastAsia="Calibri" w:hAnsi="Times New Roman" w:cs="Times New Roman"/>
          <w:i/>
          <w:sz w:val="26"/>
          <w:szCs w:val="26"/>
        </w:rPr>
        <w:t xml:space="preserve"> v. S. Fla. Sinus &amp; Allergy Ctr.</w:t>
      </w:r>
      <w:r w:rsidRPr="005F3F81">
        <w:rPr>
          <w:rFonts w:ascii="Times New Roman" w:eastAsia="Calibri" w:hAnsi="Times New Roman" w:cs="Times New Roman"/>
          <w:sz w:val="26"/>
          <w:szCs w:val="26"/>
        </w:rPr>
        <w:t>, 790 F.3d 1253 (11th Cir. 2015), the Eleventh Circuit held the inquiry into whether a plaintiff’s mark is sufficiently distinctive to qualify for protection under the ACPA turns on the following factors:</w:t>
      </w:r>
    </w:p>
    <w:p w14:paraId="4619BBC5" w14:textId="77777777" w:rsidR="00543685" w:rsidRPr="005F3F81" w:rsidRDefault="00543685" w:rsidP="002A7510">
      <w:pPr>
        <w:spacing w:line="240" w:lineRule="auto"/>
        <w:ind w:left="720" w:righ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3F81">
        <w:rPr>
          <w:rFonts w:ascii="Times New Roman" w:eastAsia="Calibri" w:hAnsi="Times New Roman" w:cs="Times New Roman"/>
          <w:sz w:val="26"/>
          <w:szCs w:val="26"/>
        </w:rPr>
        <w:t>(1) the length and nature of the name’s use, (2) the nature and extent of advertising and promotion of the name, (3) the efforts of the proprietor to promote a conscious connection between the name and the business, and (4) the degree of actual recognition by the public that the name designates the proprietor’s product or service.</w:t>
      </w:r>
    </w:p>
    <w:p w14:paraId="64455B4B" w14:textId="77777777" w:rsidR="00543685" w:rsidRPr="005F3F81" w:rsidRDefault="00543685" w:rsidP="002A7510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3F81">
        <w:rPr>
          <w:rFonts w:ascii="Times New Roman" w:eastAsia="Calibri" w:hAnsi="Times New Roman" w:cs="Times New Roman"/>
          <w:i/>
          <w:sz w:val="26"/>
          <w:szCs w:val="26"/>
        </w:rPr>
        <w:t>Id.</w:t>
      </w:r>
      <w:r w:rsidRPr="005F3F81">
        <w:rPr>
          <w:rFonts w:ascii="Times New Roman" w:eastAsia="Calibri" w:hAnsi="Times New Roman" w:cs="Times New Roman"/>
          <w:sz w:val="26"/>
          <w:szCs w:val="26"/>
        </w:rPr>
        <w:t xml:space="preserve"> at 1257 (quoting </w:t>
      </w:r>
      <w:r w:rsidRPr="005F3F81">
        <w:rPr>
          <w:rFonts w:ascii="Times New Roman" w:eastAsia="Calibri" w:hAnsi="Times New Roman" w:cs="Times New Roman"/>
          <w:i/>
          <w:sz w:val="26"/>
          <w:szCs w:val="26"/>
        </w:rPr>
        <w:t xml:space="preserve">Tana v. </w:t>
      </w:r>
      <w:proofErr w:type="spellStart"/>
      <w:r w:rsidRPr="005F3F81">
        <w:rPr>
          <w:rFonts w:ascii="Times New Roman" w:eastAsia="Calibri" w:hAnsi="Times New Roman" w:cs="Times New Roman"/>
          <w:i/>
          <w:sz w:val="26"/>
          <w:szCs w:val="26"/>
        </w:rPr>
        <w:t>Dantanna’s</w:t>
      </w:r>
      <w:proofErr w:type="spellEnd"/>
      <w:r w:rsidRPr="005F3F81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Pr="005F3F81">
        <w:rPr>
          <w:rFonts w:ascii="Times New Roman" w:eastAsia="Calibri" w:hAnsi="Times New Roman" w:cs="Times New Roman"/>
          <w:sz w:val="26"/>
          <w:szCs w:val="26"/>
        </w:rPr>
        <w:t xml:space="preserve"> 611 F.3d 767, 776 (11th Cir. 2010)).</w:t>
      </w:r>
    </w:p>
    <w:p w14:paraId="53CC2735" w14:textId="77777777" w:rsidR="00543685" w:rsidRDefault="00543685" w:rsidP="002A751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In contrast, the Eleventh Circuit has not ruled on what makes a trademark famous under the ACPA. For dilution purposes under the Lanham Act, however, a “famous” trademark is one that is “widely recognized by the general consuming public of the United States as a designation of source of the goods or services of the trademark’s owner.” 15 U.S.C. § 1125</w:t>
      </w:r>
      <w:r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>
        <w:rPr>
          <w:rFonts w:ascii="Times New Roman" w:eastAsia="Times New Roman" w:hAnsi="Times New Roman" w:cs="Times New Roman"/>
          <w:sz w:val="26"/>
          <w:szCs w:val="26"/>
        </w:rPr>
        <w:instrText xml:space="preserve"> LISTNUM  NumberDefault \l 5 \s 3 </w:instrText>
      </w:r>
      <w:r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>
        <w:rPr>
          <w:rFonts w:ascii="Times New Roman" w:eastAsia="Times New Roman" w:hAnsi="Times New Roman" w:cs="Times New Roman"/>
          <w:sz w:val="26"/>
          <w:szCs w:val="26"/>
        </w:rPr>
        <w:instrText xml:space="preserve"> LISTNUM  NumberDefault \l 4 \s 2 </w:instrText>
      </w:r>
      <w:r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see also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J. Thomas McCarthy, </w:t>
      </w:r>
      <w:r w:rsidRPr="00897068">
        <w:rPr>
          <w:rFonts w:ascii="Times New Roman" w:eastAsia="Times New Roman" w:hAnsi="Times New Roman" w:cs="Times New Roman"/>
          <w:i/>
          <w:sz w:val="26"/>
          <w:szCs w:val="26"/>
        </w:rPr>
        <w:t>Trademarks and Unfair Competition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§ 24.91 (4th ed.) (defining “famous” trademarks as those that are “truly prominent and renowned”) (citing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Thane Int’l v. Trek Bicycle Corp.</w:t>
      </w:r>
      <w:r>
        <w:rPr>
          <w:rFonts w:ascii="Times New Roman" w:eastAsia="Times New Roman" w:hAnsi="Times New Roman" w:cs="Times New Roman"/>
          <w:sz w:val="26"/>
          <w:szCs w:val="26"/>
        </w:rPr>
        <w:t>, 305 F.3d 894, 910-11 (9th Cir. 2002) (concluding that the Federal Trademark Dilution Act only protected a trademark that is a “household name”)). The Eleventh Circuit also has not yet ruled on the meaning of the terms “identical” or “confusingly similar” under the ACPA.</w:t>
      </w:r>
    </w:p>
    <w:p w14:paraId="5A0909B9" w14:textId="77777777" w:rsidR="00543685" w:rsidRPr="005F3F81" w:rsidRDefault="00543685" w:rsidP="002A7510">
      <w:pPr>
        <w:pStyle w:val="00BodyText5"/>
        <w:spacing w:after="200"/>
        <w:rPr>
          <w:rFonts w:eastAsia="Calibri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A defendant’s bad faith is not enough; the plaintiff must prove a bad faith </w:t>
      </w:r>
      <w:r>
        <w:rPr>
          <w:rFonts w:eastAsia="Times New Roman" w:cs="Times New Roman"/>
          <w:i/>
          <w:sz w:val="26"/>
          <w:szCs w:val="26"/>
        </w:rPr>
        <w:t>intent to profit</w:t>
      </w:r>
      <w:r>
        <w:rPr>
          <w:rFonts w:eastAsia="Times New Roman" w:cs="Times New Roman"/>
          <w:sz w:val="26"/>
          <w:szCs w:val="26"/>
        </w:rPr>
        <w:t xml:space="preserve">. </w:t>
      </w:r>
      <w:r>
        <w:rPr>
          <w:rFonts w:eastAsia="Times New Roman" w:cs="Times New Roman"/>
          <w:i/>
          <w:sz w:val="26"/>
          <w:szCs w:val="26"/>
        </w:rPr>
        <w:t>S. Grouts &amp; Mortars, Inc. v. 3M Co.</w:t>
      </w:r>
      <w:r>
        <w:rPr>
          <w:rFonts w:eastAsia="Times New Roman" w:cs="Times New Roman"/>
          <w:sz w:val="26"/>
          <w:szCs w:val="26"/>
        </w:rPr>
        <w:t xml:space="preserve">, 575 F.3d 1235, 1246 (11th Cir. 2009). This statutory requirement of an intent to profit correlates with the ACPA’s purpose – namely, “to ‘curtail one form of cybersquatting – the act of registering someone else’s name as a domain name for the purpose of demanding remuneration from the person in exchange for the domain name.’” </w:t>
      </w:r>
      <w:r>
        <w:rPr>
          <w:rFonts w:eastAsia="Times New Roman" w:cs="Times New Roman"/>
          <w:i/>
          <w:sz w:val="26"/>
          <w:szCs w:val="26"/>
        </w:rPr>
        <w:t>Id</w:t>
      </w:r>
      <w:r>
        <w:rPr>
          <w:rFonts w:eastAsia="Times New Roman" w:cs="Times New Roman"/>
          <w:sz w:val="26"/>
          <w:szCs w:val="26"/>
        </w:rPr>
        <w:t xml:space="preserve">. (quoting </w:t>
      </w:r>
      <w:proofErr w:type="spellStart"/>
      <w:r>
        <w:rPr>
          <w:rFonts w:eastAsia="Times New Roman" w:cs="Times New Roman"/>
          <w:i/>
          <w:sz w:val="26"/>
          <w:szCs w:val="26"/>
        </w:rPr>
        <w:t>Schmidheiny</w:t>
      </w:r>
      <w:proofErr w:type="spellEnd"/>
      <w:r>
        <w:rPr>
          <w:rFonts w:eastAsia="Times New Roman" w:cs="Times New Roman"/>
          <w:i/>
          <w:sz w:val="26"/>
          <w:szCs w:val="26"/>
        </w:rPr>
        <w:t xml:space="preserve"> v. Weber</w:t>
      </w:r>
      <w:r>
        <w:rPr>
          <w:rFonts w:eastAsia="Times New Roman" w:cs="Times New Roman"/>
          <w:sz w:val="26"/>
          <w:szCs w:val="26"/>
        </w:rPr>
        <w:t>, 319 F.3d 581, 582 (3d Cir. 2003)).</w:t>
      </w:r>
      <w:r w:rsidRPr="005F3F81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 </w:t>
      </w:r>
      <w:r w:rsidRPr="005F3F81">
        <w:rPr>
          <w:rFonts w:eastAsia="Calibri" w:cs="Times New Roman"/>
          <w:sz w:val="26"/>
          <w:szCs w:val="26"/>
        </w:rPr>
        <w:t xml:space="preserve">For this reason, “[a defendant] cannot be liable for registering or using [a plaintiff’s] trademark with a bad faith intent to profit if it . . . ‘believed and had reasonable grounds to believe that the use of the domain name was . . . lawful.’” </w:t>
      </w:r>
      <w:r w:rsidRPr="005F3F81">
        <w:rPr>
          <w:rFonts w:eastAsia="Calibri" w:cs="Times New Roman"/>
          <w:i/>
          <w:sz w:val="26"/>
          <w:szCs w:val="26"/>
        </w:rPr>
        <w:t>Pensacola Motor Sales Inc. v. E. Shore Toyota, LLC</w:t>
      </w:r>
      <w:r w:rsidRPr="005F3F81">
        <w:rPr>
          <w:rFonts w:eastAsia="Calibri" w:cs="Times New Roman"/>
          <w:sz w:val="26"/>
          <w:szCs w:val="26"/>
        </w:rPr>
        <w:t xml:space="preserve">, 684 F.3d 1211, 1226 (11th Cir. 2012) (second alteration in original) (quoting 15 U.S.C. § 1125(d)(1)(B)(ii) (2012)). </w:t>
      </w:r>
    </w:p>
    <w:p w14:paraId="27C6E682" w14:textId="77777777" w:rsidR="00543685" w:rsidRPr="006E19CC" w:rsidRDefault="00543685" w:rsidP="00543685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114E85F" w14:textId="77777777" w:rsidR="005764C5" w:rsidRDefault="005764C5"/>
    <w:sectPr w:rsidR="005764C5" w:rsidSect="006F2F5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18EE" w14:textId="77777777" w:rsidR="002A7510" w:rsidRDefault="002A7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48C1" w14:textId="77777777" w:rsidR="002A7510" w:rsidRDefault="002A7510" w:rsidP="001B5256">
    <w:pPr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6C50" w14:textId="77777777" w:rsidR="002A7510" w:rsidRDefault="002A751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DD13" w14:textId="77777777" w:rsidR="002A7510" w:rsidRDefault="002A7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4AF9" w14:textId="77777777" w:rsidR="002A7510" w:rsidRDefault="002A75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5D31" w14:textId="77777777" w:rsidR="002A7510" w:rsidRDefault="002A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85"/>
    <w:rsid w:val="001A558C"/>
    <w:rsid w:val="002A7510"/>
    <w:rsid w:val="00442166"/>
    <w:rsid w:val="00543685"/>
    <w:rsid w:val="005764C5"/>
    <w:rsid w:val="007B42AB"/>
    <w:rsid w:val="00F8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5F4D5"/>
  <w15:chartTrackingRefBased/>
  <w15:docId w15:val="{E1071417-2372-4A9F-B477-C73C75FF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685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68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43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685"/>
    <w:rPr>
      <w:kern w:val="0"/>
      <w14:ligatures w14:val="none"/>
    </w:rPr>
  </w:style>
  <w:style w:type="paragraph" w:customStyle="1" w:styleId="00BodyText5">
    <w:name w:val="00 Body Text .5"/>
    <w:basedOn w:val="Normal"/>
    <w:qFormat/>
    <w:rsid w:val="00543685"/>
    <w:pPr>
      <w:spacing w:after="240" w:line="24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Adams</dc:creator>
  <cp:keywords/>
  <dc:description/>
  <cp:lastModifiedBy>Kathleen Adams</cp:lastModifiedBy>
  <cp:revision>2</cp:revision>
  <dcterms:created xsi:type="dcterms:W3CDTF">2024-03-15T18:31:00Z</dcterms:created>
  <dcterms:modified xsi:type="dcterms:W3CDTF">2024-03-15T18:59:00Z</dcterms:modified>
</cp:coreProperties>
</file>