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58" w:rsidRPr="007175CC" w:rsidRDefault="002D7B58" w:rsidP="00A206C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75CC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861E8B" w:rsidRDefault="00861E8B" w:rsidP="00A206C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false advertising remedies are largely identical to the remedies for infringement of registered and unregistered trademarks.</w:t>
      </w:r>
    </w:p>
    <w:p w:rsidR="00725167" w:rsidRPr="004E5BD9" w:rsidRDefault="002D7B58" w:rsidP="00B07E0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BD9">
        <w:rPr>
          <w:rFonts w:ascii="Times New Roman" w:hAnsi="Times New Roman" w:cs="Times New Roman"/>
          <w:sz w:val="26"/>
          <w:szCs w:val="26"/>
        </w:rPr>
        <w:t xml:space="preserve">The statutory basis </w:t>
      </w:r>
      <w:r w:rsidR="00B07E0C" w:rsidRPr="004E5BD9">
        <w:rPr>
          <w:rFonts w:ascii="Times New Roman" w:hAnsi="Times New Roman" w:cs="Times New Roman"/>
          <w:sz w:val="26"/>
          <w:szCs w:val="26"/>
        </w:rPr>
        <w:t>of the direct false advertising</w:t>
      </w:r>
      <w:r w:rsidRPr="004E5BD9">
        <w:rPr>
          <w:rFonts w:ascii="Times New Roman" w:hAnsi="Times New Roman" w:cs="Times New Roman"/>
          <w:sz w:val="26"/>
          <w:szCs w:val="26"/>
        </w:rPr>
        <w:t xml:space="preserve"> cause of action is 15 U.S.C. § 1125</w:t>
      </w:r>
      <w:r w:rsidRPr="004E5BD9">
        <w:rPr>
          <w:rFonts w:ascii="Times New Roman" w:hAnsi="Times New Roman" w:cs="Times New Roman"/>
          <w:sz w:val="26"/>
          <w:szCs w:val="26"/>
        </w:rPr>
        <w:fldChar w:fldCharType="begin"/>
      </w:r>
      <w:r w:rsidRPr="004E5BD9">
        <w:rPr>
          <w:rFonts w:ascii="Times New Roman" w:hAnsi="Times New Roman" w:cs="Times New Roman"/>
          <w:sz w:val="26"/>
          <w:szCs w:val="26"/>
        </w:rPr>
        <w:instrText xml:space="preserve"> LISTNUM  NumberDefault \l 5 \s 1 </w:instrText>
      </w:r>
      <w:r w:rsidRPr="00DA768C">
        <w:rPr>
          <w:rFonts w:ascii="Times New Roman" w:hAnsi="Times New Roman" w:cs="Times New Roman"/>
          <w:sz w:val="26"/>
          <w:szCs w:val="26"/>
        </w:rPr>
        <w:fldChar w:fldCharType="end">
          <w:numberingChange w:id="0" w:author="Author" w:original="(a)"/>
        </w:fldChar>
      </w:r>
      <w:r w:rsidRPr="00DA768C">
        <w:rPr>
          <w:rFonts w:ascii="Times New Roman" w:hAnsi="Times New Roman" w:cs="Times New Roman"/>
          <w:sz w:val="26"/>
          <w:szCs w:val="26"/>
        </w:rPr>
        <w:fldChar w:fldCharType="begin"/>
      </w:r>
      <w:r w:rsidRPr="004E5BD9">
        <w:rPr>
          <w:rFonts w:ascii="Times New Roman" w:hAnsi="Times New Roman" w:cs="Times New Roman"/>
          <w:sz w:val="26"/>
          <w:szCs w:val="26"/>
        </w:rPr>
        <w:instrText xml:space="preserve"> LISTNUM  NumberDefault \l 4 \s 1 </w:instrText>
      </w:r>
      <w:r w:rsidRPr="00DA768C">
        <w:rPr>
          <w:rFonts w:ascii="Times New Roman" w:hAnsi="Times New Roman" w:cs="Times New Roman"/>
          <w:sz w:val="26"/>
          <w:szCs w:val="26"/>
        </w:rPr>
        <w:fldChar w:fldCharType="end">
          <w:numberingChange w:id="1" w:author="Author" w:original="(1)"/>
        </w:fldChar>
      </w:r>
      <w:r w:rsidRPr="004E5BD9">
        <w:rPr>
          <w:rFonts w:ascii="Times New Roman" w:hAnsi="Times New Roman" w:cs="Times New Roman"/>
          <w:sz w:val="26"/>
          <w:szCs w:val="26"/>
        </w:rPr>
        <w:t xml:space="preserve">(B). The five-part test for liability is taken from </w:t>
      </w:r>
      <w:r w:rsidRPr="004E5BD9">
        <w:rPr>
          <w:rFonts w:ascii="Times New Roman" w:hAnsi="Times New Roman" w:cs="Times New Roman"/>
          <w:i/>
          <w:sz w:val="26"/>
          <w:szCs w:val="26"/>
        </w:rPr>
        <w:t xml:space="preserve">Osmose, Inc. v. </w:t>
      </w:r>
      <w:proofErr w:type="spellStart"/>
      <w:r w:rsidRPr="004E5BD9">
        <w:rPr>
          <w:rFonts w:ascii="Times New Roman" w:hAnsi="Times New Roman" w:cs="Times New Roman"/>
          <w:i/>
          <w:sz w:val="26"/>
          <w:szCs w:val="26"/>
        </w:rPr>
        <w:t>Viance</w:t>
      </w:r>
      <w:proofErr w:type="spellEnd"/>
      <w:r w:rsidRPr="004E5BD9">
        <w:rPr>
          <w:rFonts w:ascii="Times New Roman" w:hAnsi="Times New Roman" w:cs="Times New Roman"/>
          <w:i/>
          <w:sz w:val="26"/>
          <w:szCs w:val="26"/>
        </w:rPr>
        <w:t>, LLC</w:t>
      </w:r>
      <w:r w:rsidRPr="004E5BD9">
        <w:rPr>
          <w:rFonts w:ascii="Times New Roman" w:hAnsi="Times New Roman" w:cs="Times New Roman"/>
          <w:sz w:val="26"/>
          <w:szCs w:val="26"/>
        </w:rPr>
        <w:t>, 612 F.3d 1298, 1308 (11</w:t>
      </w:r>
      <w:r w:rsidR="00B07E0C" w:rsidRPr="004E5BD9">
        <w:rPr>
          <w:rFonts w:ascii="Times New Roman" w:hAnsi="Times New Roman" w:cs="Times New Roman"/>
          <w:sz w:val="26"/>
          <w:szCs w:val="26"/>
        </w:rPr>
        <w:t>th</w:t>
      </w:r>
      <w:r w:rsidRPr="004E5BD9">
        <w:rPr>
          <w:rFonts w:ascii="Times New Roman" w:hAnsi="Times New Roman" w:cs="Times New Roman"/>
          <w:sz w:val="26"/>
          <w:szCs w:val="26"/>
        </w:rPr>
        <w:t xml:space="preserve"> Cir. 2010), and </w:t>
      </w:r>
      <w:r w:rsidRPr="004E5BD9">
        <w:rPr>
          <w:rFonts w:ascii="Times New Roman" w:hAnsi="Times New Roman" w:cs="Times New Roman"/>
          <w:i/>
          <w:sz w:val="26"/>
          <w:szCs w:val="26"/>
        </w:rPr>
        <w:t>N. Am. Medical Corp. v. Axiom Worldwide, Inc.</w:t>
      </w:r>
      <w:r w:rsidRPr="004E5BD9">
        <w:rPr>
          <w:rFonts w:ascii="Times New Roman" w:hAnsi="Times New Roman" w:cs="Times New Roman"/>
          <w:sz w:val="26"/>
          <w:szCs w:val="26"/>
        </w:rPr>
        <w:t>, 522 F.3d 1211, 1224 (11</w:t>
      </w:r>
      <w:r w:rsidR="00B07E0C" w:rsidRPr="004E5BD9">
        <w:rPr>
          <w:rFonts w:ascii="Times New Roman" w:hAnsi="Times New Roman" w:cs="Times New Roman"/>
          <w:sz w:val="26"/>
          <w:szCs w:val="26"/>
        </w:rPr>
        <w:t>th</w:t>
      </w:r>
      <w:r w:rsidRPr="004E5BD9">
        <w:rPr>
          <w:rFonts w:ascii="Times New Roman" w:hAnsi="Times New Roman" w:cs="Times New Roman"/>
          <w:sz w:val="26"/>
          <w:szCs w:val="26"/>
        </w:rPr>
        <w:t xml:space="preserve"> Cir. 2008)</w:t>
      </w:r>
      <w:r w:rsidR="00B07E0C" w:rsidRPr="004E5BD9">
        <w:rPr>
          <w:rFonts w:ascii="Times New Roman" w:eastAsia="Calibri" w:hAnsi="Times New Roman" w:cs="Times New Roman"/>
          <w:sz w:val="26"/>
          <w:szCs w:val="26"/>
        </w:rPr>
        <w:t xml:space="preserve">, although an alternative phrasing of that test appears in </w:t>
      </w:r>
      <w:proofErr w:type="spellStart"/>
      <w:r w:rsidR="00B07E0C" w:rsidRPr="004E5BD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Suntree</w:t>
      </w:r>
      <w:proofErr w:type="spellEnd"/>
      <w:r w:rsidR="00B07E0C" w:rsidRPr="004E5BD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Techs., Inc. v. </w:t>
      </w:r>
      <w:proofErr w:type="spellStart"/>
      <w:r w:rsidR="00B07E0C" w:rsidRPr="004E5BD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Ecosense</w:t>
      </w:r>
      <w:proofErr w:type="spellEnd"/>
      <w:r w:rsidR="00B07E0C" w:rsidRPr="004E5BD9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Int’l, Inc</w:t>
      </w:r>
      <w:r w:rsidR="00B07E0C" w:rsidRPr="004E5BD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B07E0C" w:rsidRPr="004E5BD9">
        <w:rPr>
          <w:rFonts w:ascii="Times New Roman" w:eastAsia="Times New Roman" w:hAnsi="Times New Roman" w:cs="Times New Roman"/>
          <w:sz w:val="26"/>
          <w:szCs w:val="26"/>
        </w:rPr>
        <w:t>, 693 F.3d 1338, 1348-49 (11th Cir. 2012)</w:t>
      </w:r>
      <w:r w:rsidR="00B07E0C" w:rsidRPr="004E5BD9">
        <w:rPr>
          <w:rFonts w:ascii="Times New Roman" w:eastAsia="Calibri" w:hAnsi="Times New Roman" w:cs="Times New Roman"/>
          <w:sz w:val="26"/>
          <w:szCs w:val="26"/>
        </w:rPr>
        <w:t>. The relationship between literal falsity and the actual or likely deception prerequisite for liability is taken from</w:t>
      </w:r>
      <w:r w:rsidR="00B07E0C" w:rsidRPr="004E5BD9">
        <w:rPr>
          <w:rFonts w:ascii="Times New Roman" w:hAnsi="Times New Roman" w:cs="Times New Roman"/>
          <w:sz w:val="26"/>
          <w:szCs w:val="26"/>
        </w:rPr>
        <w:t xml:space="preserve"> </w:t>
      </w:r>
      <w:r w:rsidRPr="004E5BD9">
        <w:rPr>
          <w:rFonts w:ascii="Times New Roman" w:hAnsi="Times New Roman" w:cs="Times New Roman"/>
          <w:i/>
          <w:sz w:val="26"/>
          <w:szCs w:val="26"/>
        </w:rPr>
        <w:t>Osmose</w:t>
      </w:r>
      <w:r w:rsidRPr="004E5BD9">
        <w:rPr>
          <w:rFonts w:ascii="Times New Roman" w:hAnsi="Times New Roman" w:cs="Times New Roman"/>
          <w:sz w:val="26"/>
          <w:szCs w:val="26"/>
        </w:rPr>
        <w:t>, 612 F.3d</w:t>
      </w:r>
      <w:bookmarkStart w:id="2" w:name="_GoBack"/>
      <w:bookmarkEnd w:id="2"/>
      <w:r w:rsidRPr="004E5BD9">
        <w:rPr>
          <w:rFonts w:ascii="Times New Roman" w:hAnsi="Times New Roman" w:cs="Times New Roman"/>
          <w:sz w:val="26"/>
          <w:szCs w:val="26"/>
        </w:rPr>
        <w:t xml:space="preserve"> at 1319.</w:t>
      </w:r>
    </w:p>
    <w:p w:rsidR="004E5BD9" w:rsidRPr="004E5BD9" w:rsidRDefault="004E5BD9" w:rsidP="00B07E0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BD9">
        <w:rPr>
          <w:rFonts w:ascii="Times New Roman" w:eastAsia="Calibri" w:hAnsi="Times New Roman" w:cs="Times New Roman"/>
          <w:sz w:val="26"/>
          <w:szCs w:val="26"/>
        </w:rPr>
        <w:t xml:space="preserve">The test for contributory false advertising is taken from </w:t>
      </w:r>
      <w:r w:rsidRPr="004E5BD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Duty Free </w:t>
      </w:r>
      <w:proofErr w:type="spellStart"/>
      <w:r w:rsidRPr="004E5BD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Ams</w:t>
      </w:r>
      <w:proofErr w:type="spellEnd"/>
      <w:r w:rsidRPr="004E5BD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., Inc. v. Estee Lauder Cos.</w:t>
      </w:r>
      <w:r w:rsidRPr="004E5BD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797 F.3d 1248, 1274-76 (11th Cir. 2015); </w:t>
      </w:r>
      <w:r w:rsidRPr="004E5BD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cf. Inwood Labs. v. Ives Labs</w:t>
      </w:r>
      <w:r w:rsidRPr="004E5BD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., 456 U.S. 844, 854, 102 S. Ct. 2182, 2188, 72 L. Ed. 2d 606 (1982) (“[I]f a manufacturer or distributor intentionally induces another to infringe a trademark, or if it continues to supply its product to one whom it knows or has reason to know is engaging in trademark infringement, the manufacturer or distributor is </w:t>
      </w:r>
      <w:proofErr w:type="spellStart"/>
      <w:r w:rsidRPr="004E5BD9">
        <w:rPr>
          <w:rFonts w:ascii="Times New Roman" w:eastAsia="Calibri" w:hAnsi="Times New Roman" w:cs="Times New Roman"/>
          <w:sz w:val="26"/>
          <w:szCs w:val="26"/>
          <w:lang w:eastAsia="zh-CN"/>
        </w:rPr>
        <w:t>contributorially</w:t>
      </w:r>
      <w:proofErr w:type="spellEnd"/>
      <w:r w:rsidRPr="004E5BD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responsible for any harm done as a result of the deceit.”).</w:t>
      </w:r>
    </w:p>
    <w:sectPr w:rsidR="004E5BD9" w:rsidRPr="004E5BD9" w:rsidSect="007E227C">
      <w:pgSz w:w="12240" w:h="15840" w:code="1"/>
      <w:pgMar w:top="1440" w:right="1440" w:bottom="144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52" w:rsidRDefault="00741B52" w:rsidP="00741B52">
      <w:pPr>
        <w:spacing w:after="0" w:line="240" w:lineRule="auto"/>
      </w:pPr>
      <w:r>
        <w:separator/>
      </w:r>
    </w:p>
  </w:endnote>
  <w:endnote w:type="continuationSeparator" w:id="0">
    <w:p w:rsidR="00741B52" w:rsidRDefault="00741B52" w:rsidP="0074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52" w:rsidRDefault="00741B52" w:rsidP="00741B52">
      <w:pPr>
        <w:spacing w:after="0" w:line="240" w:lineRule="auto"/>
      </w:pPr>
      <w:r>
        <w:separator/>
      </w:r>
    </w:p>
  </w:footnote>
  <w:footnote w:type="continuationSeparator" w:id="0">
    <w:p w:rsidR="00741B52" w:rsidRDefault="00741B52" w:rsidP="0074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58"/>
    <w:rsid w:val="00014B03"/>
    <w:rsid w:val="002D7B58"/>
    <w:rsid w:val="004E5BD9"/>
    <w:rsid w:val="006E4838"/>
    <w:rsid w:val="00725167"/>
    <w:rsid w:val="00741B52"/>
    <w:rsid w:val="007E227C"/>
    <w:rsid w:val="0081575C"/>
    <w:rsid w:val="00861E8B"/>
    <w:rsid w:val="00A206C5"/>
    <w:rsid w:val="00B07E0C"/>
    <w:rsid w:val="00DA768C"/>
    <w:rsid w:val="00D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4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52"/>
  </w:style>
  <w:style w:type="paragraph" w:styleId="Footer">
    <w:name w:val="footer"/>
    <w:basedOn w:val="Normal"/>
    <w:link w:val="FooterChar"/>
    <w:uiPriority w:val="99"/>
    <w:unhideWhenUsed/>
    <w:rsid w:val="0074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52"/>
  </w:style>
  <w:style w:type="paragraph" w:styleId="BalloonText">
    <w:name w:val="Balloon Text"/>
    <w:basedOn w:val="Normal"/>
    <w:link w:val="BalloonTextChar"/>
    <w:uiPriority w:val="99"/>
    <w:semiHidden/>
    <w:unhideWhenUsed/>
    <w:rsid w:val="00B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4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52"/>
  </w:style>
  <w:style w:type="paragraph" w:styleId="Footer">
    <w:name w:val="footer"/>
    <w:basedOn w:val="Normal"/>
    <w:link w:val="FooterChar"/>
    <w:uiPriority w:val="99"/>
    <w:unhideWhenUsed/>
    <w:rsid w:val="0074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52"/>
  </w:style>
  <w:style w:type="paragraph" w:styleId="BalloonText">
    <w:name w:val="Balloon Text"/>
    <w:basedOn w:val="Normal"/>
    <w:link w:val="BalloonTextChar"/>
    <w:uiPriority w:val="99"/>
    <w:semiHidden/>
    <w:unhideWhenUsed/>
    <w:rsid w:val="00B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2017-08-23T14:31:00Z</dcterms:created>
  <dcterms:modified xsi:type="dcterms:W3CDTF">2017-08-23T14:31:00Z</dcterms:modified>
</cp:coreProperties>
</file>