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9B2C7" w14:textId="4F331AD8" w:rsidR="00675F02" w:rsidRPr="007C06EA" w:rsidRDefault="00675F02" w:rsidP="00675F02">
      <w:pPr>
        <w:spacing w:after="200" w:line="240" w:lineRule="auto"/>
        <w:jc w:val="both"/>
        <w:rPr>
          <w:rFonts w:ascii="Times New Roman" w:hAnsi="Times New Roman" w:cs="Times New Roman"/>
          <w:sz w:val="26"/>
          <w:szCs w:val="26"/>
        </w:rPr>
      </w:pPr>
      <w:r w:rsidRPr="007C06EA">
        <w:rPr>
          <w:rFonts w:ascii="Times New Roman" w:hAnsi="Times New Roman" w:cs="Times New Roman"/>
          <w:b/>
          <w:bCs/>
          <w:sz w:val="26"/>
          <w:szCs w:val="26"/>
          <w:u w:val="single"/>
        </w:rPr>
        <w:t>ANNOTATIONS AND COMMENTS</w:t>
      </w:r>
      <w:r w:rsidRPr="007C06EA">
        <w:rPr>
          <w:rFonts w:ascii="Times New Roman" w:hAnsi="Times New Roman" w:cs="Times New Roman"/>
          <w:sz w:val="26"/>
          <w:szCs w:val="26"/>
        </w:rPr>
        <w:t xml:space="preserve"> </w:t>
      </w:r>
    </w:p>
    <w:p w14:paraId="282C6D5D" w14:textId="77777777" w:rsidR="00675F02" w:rsidRPr="007C06EA" w:rsidRDefault="00675F02" w:rsidP="00675F02">
      <w:pPr>
        <w:spacing w:after="0" w:line="240" w:lineRule="auto"/>
        <w:jc w:val="both"/>
        <w:rPr>
          <w:rFonts w:ascii="Times New Roman" w:hAnsi="Times New Roman" w:cs="Times New Roman"/>
          <w:sz w:val="26"/>
          <w:szCs w:val="26"/>
        </w:rPr>
      </w:pPr>
      <w:r w:rsidRPr="007C06EA">
        <w:rPr>
          <w:rFonts w:ascii="Times New Roman" w:hAnsi="Times New Roman" w:cs="Times New Roman"/>
          <w:sz w:val="26"/>
          <w:szCs w:val="26"/>
        </w:rPr>
        <w:t>There may be cases in which the last sentence of the first paragraph of this instruction is inappropriate and should be deleted. This may occur, for example, in prosecutions under 18 U.S.C. § 1962 (RICO offenses) or 21 U.S.C. § 848 (Continuing Criminal Enterprise offenses) where the indictment is structured so that a conviction of one count or counts (sometimes called “predicate offenses”) is necessary to a conviction of another count or counts.</w:t>
      </w:r>
    </w:p>
    <w:p w14:paraId="4B6C3FEF" w14:textId="77777777" w:rsidR="00675F02" w:rsidRPr="002E7B09" w:rsidRDefault="00675F02" w:rsidP="00675F02"/>
    <w:p w14:paraId="0FC04FCF" w14:textId="77777777" w:rsidR="005764C5" w:rsidRDefault="005764C5"/>
    <w:sectPr w:rsidR="00576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02"/>
    <w:rsid w:val="001A558C"/>
    <w:rsid w:val="005764C5"/>
    <w:rsid w:val="00675F02"/>
    <w:rsid w:val="007B42AB"/>
    <w:rsid w:val="00F8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8AF2A"/>
  <w15:chartTrackingRefBased/>
  <w15:docId w15:val="{DFE97594-E3FB-4617-ACBB-91E07528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F0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1</cp:revision>
  <dcterms:created xsi:type="dcterms:W3CDTF">2024-03-20T18:40:00Z</dcterms:created>
  <dcterms:modified xsi:type="dcterms:W3CDTF">2024-03-20T18:41:00Z</dcterms:modified>
</cp:coreProperties>
</file>