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A2" w:rsidRPr="00503874" w:rsidRDefault="008E4BA2" w:rsidP="008E4BA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8E4BA2" w:rsidRPr="00503874" w:rsidRDefault="008E4BA2" w:rsidP="008E4BA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8E4BA2" w:rsidRDefault="008E4BA2" w:rsidP="008E4BA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3851A3">
        <w:rPr>
          <w:rFonts w:ascii="Times New Roman" w:eastAsia="Arial" w:hAnsi="Times New Roman"/>
          <w:i/>
          <w:sz w:val="26"/>
          <w:szCs w:val="26"/>
        </w:rPr>
        <w:t>United States v. Norton</w:t>
      </w:r>
      <w:r w:rsidRPr="00503874">
        <w:rPr>
          <w:rFonts w:ascii="Times New Roman" w:eastAsia="Arial" w:hAnsi="Times New Roman"/>
          <w:sz w:val="26"/>
          <w:szCs w:val="26"/>
        </w:rPr>
        <w:t>, 867 F.2d 1354, 1365-66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1989), </w:t>
      </w:r>
      <w:r w:rsidRPr="003851A3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491 U.S. 907, 109 S. Ct. 3192, 105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2d 701 (1989) and 493 U.S. 871, 110 S. Ct. 200, 107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 xml:space="preserve">2d 154 (1989) notes that the Court should not inquire about, or disclose, numerical division of the jury during deliberations but states that “[r]eversal may not be necessary even where the trial judge undertakes the inquiry and thereafter follows it with an </w:t>
      </w:r>
      <w:r w:rsidRPr="003851A3">
        <w:rPr>
          <w:rFonts w:ascii="Times New Roman" w:eastAsia="Arial" w:hAnsi="Times New Roman"/>
          <w:i/>
          <w:sz w:val="26"/>
          <w:szCs w:val="26"/>
        </w:rPr>
        <w:t>Allen</w:t>
      </w:r>
      <w:r w:rsidRPr="003851A3"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 xml:space="preserve">charge, absent a showing that either incident or a combination of the two was inherently coercive.” </w:t>
      </w:r>
      <w:r w:rsidRPr="003851A3">
        <w:rPr>
          <w:rFonts w:ascii="Times New Roman" w:eastAsia="Arial" w:hAnsi="Times New Roman"/>
          <w:sz w:val="26"/>
          <w:szCs w:val="26"/>
        </w:rPr>
        <w:t xml:space="preserve">See </w:t>
      </w:r>
      <w:r w:rsidRPr="003851A3">
        <w:rPr>
          <w:rFonts w:ascii="Times New Roman" w:eastAsia="Arial" w:hAnsi="Times New Roman"/>
          <w:i/>
          <w:sz w:val="26"/>
          <w:szCs w:val="26"/>
        </w:rPr>
        <w:t>United States v. Brokemond</w:t>
      </w:r>
      <w:r w:rsidRPr="00503874">
        <w:rPr>
          <w:rFonts w:ascii="Times New Roman" w:eastAsia="Arial" w:hAnsi="Times New Roman"/>
          <w:sz w:val="26"/>
          <w:szCs w:val="26"/>
        </w:rPr>
        <w:t>, 959 F.2d 206, 209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1992). </w:t>
      </w:r>
      <w:r w:rsidRPr="003851A3">
        <w:rPr>
          <w:rFonts w:ascii="Times New Roman" w:eastAsia="Arial" w:hAnsi="Times New Roman"/>
          <w:i/>
          <w:sz w:val="26"/>
          <w:szCs w:val="26"/>
        </w:rPr>
        <w:t>See also United States v. Cook</w:t>
      </w:r>
      <w:r w:rsidRPr="00503874">
        <w:rPr>
          <w:rFonts w:ascii="Times New Roman" w:eastAsia="Arial" w:hAnsi="Times New Roman"/>
          <w:sz w:val="26"/>
          <w:szCs w:val="26"/>
        </w:rPr>
        <w:t>, 586 F.2d 572 (5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1978), </w:t>
      </w:r>
      <w:r w:rsidRPr="003851A3">
        <w:rPr>
          <w:rFonts w:ascii="Times New Roman" w:eastAsia="Arial" w:hAnsi="Times New Roman"/>
          <w:i/>
          <w:sz w:val="26"/>
          <w:szCs w:val="26"/>
        </w:rPr>
        <w:t>reh’g denied</w:t>
      </w:r>
      <w:r w:rsidRPr="00503874">
        <w:rPr>
          <w:rFonts w:ascii="Times New Roman" w:eastAsia="Arial" w:hAnsi="Times New Roman"/>
          <w:sz w:val="26"/>
          <w:szCs w:val="26"/>
        </w:rPr>
        <w:t xml:space="preserve">, 589 F.2d 1114 (1979), </w:t>
      </w:r>
      <w:r w:rsidRPr="003851A3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442 U.S. 909, 99 S. Ct. 2821, 61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2d 274 (1979).</w:t>
      </w:r>
      <w:bookmarkEnd w:id="0"/>
    </w:p>
    <w:sectPr w:rsidR="00725167" w:rsidRPr="008E4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A40" w:rsidRDefault="00D74A40" w:rsidP="00D74A40">
      <w:pPr>
        <w:spacing w:after="0" w:line="240" w:lineRule="auto"/>
      </w:pPr>
      <w:r>
        <w:separator/>
      </w:r>
    </w:p>
  </w:endnote>
  <w:endnote w:type="continuationSeparator" w:id="0">
    <w:p w:rsidR="00D74A40" w:rsidRDefault="00D74A40" w:rsidP="00D74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A40" w:rsidRDefault="00D74A40" w:rsidP="00D74A40">
      <w:pPr>
        <w:spacing w:after="0" w:line="240" w:lineRule="auto"/>
      </w:pPr>
      <w:r>
        <w:separator/>
      </w:r>
    </w:p>
  </w:footnote>
  <w:footnote w:type="continuationSeparator" w:id="0">
    <w:p w:rsidR="00D74A40" w:rsidRDefault="00D74A40" w:rsidP="00D74A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91548"/>
    <w:rsid w:val="00194E82"/>
    <w:rsid w:val="001E5B53"/>
    <w:rsid w:val="003067A0"/>
    <w:rsid w:val="003851A3"/>
    <w:rsid w:val="004C148A"/>
    <w:rsid w:val="00511CE4"/>
    <w:rsid w:val="00615301"/>
    <w:rsid w:val="006179FB"/>
    <w:rsid w:val="00725167"/>
    <w:rsid w:val="00780FDD"/>
    <w:rsid w:val="00783A2A"/>
    <w:rsid w:val="0081575C"/>
    <w:rsid w:val="008E4BA2"/>
    <w:rsid w:val="009458BA"/>
    <w:rsid w:val="00A355FD"/>
    <w:rsid w:val="00AE20D4"/>
    <w:rsid w:val="00B85D99"/>
    <w:rsid w:val="00BA1F2B"/>
    <w:rsid w:val="00BC36B6"/>
    <w:rsid w:val="00CD51F7"/>
    <w:rsid w:val="00CF4F9A"/>
    <w:rsid w:val="00D163A7"/>
    <w:rsid w:val="00D74A40"/>
    <w:rsid w:val="00DA00D9"/>
    <w:rsid w:val="00DC18AE"/>
    <w:rsid w:val="00DE7E97"/>
    <w:rsid w:val="00E31401"/>
    <w:rsid w:val="00E42DFC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D74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A40"/>
  </w:style>
  <w:style w:type="paragraph" w:styleId="Footer">
    <w:name w:val="footer"/>
    <w:basedOn w:val="Normal"/>
    <w:link w:val="FooterChar"/>
    <w:uiPriority w:val="99"/>
    <w:unhideWhenUsed/>
    <w:rsid w:val="00D74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D74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A40"/>
  </w:style>
  <w:style w:type="paragraph" w:styleId="Footer">
    <w:name w:val="footer"/>
    <w:basedOn w:val="Normal"/>
    <w:link w:val="FooterChar"/>
    <w:uiPriority w:val="99"/>
    <w:unhideWhenUsed/>
    <w:rsid w:val="00D74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2014-03-31T23:25:00Z</dcterms:created>
  <dcterms:modified xsi:type="dcterms:W3CDTF">2014-06-19T15:40:00Z</dcterms:modified>
</cp:coreProperties>
</file>