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01" w:rsidRPr="00503874" w:rsidRDefault="00E31401" w:rsidP="00E3140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E31401" w:rsidRPr="00503874" w:rsidRDefault="00E31401" w:rsidP="00E3140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E31401" w:rsidRDefault="00E31401" w:rsidP="00E3140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b/>
          <w:i/>
          <w:sz w:val="26"/>
          <w:szCs w:val="26"/>
        </w:rPr>
        <w:t>United States v. Daniels</w:t>
      </w:r>
      <w:r w:rsidRPr="00503874">
        <w:rPr>
          <w:rFonts w:ascii="Times New Roman" w:eastAsia="Arial" w:hAnsi="Times New Roman"/>
          <w:sz w:val="26"/>
          <w:szCs w:val="26"/>
        </w:rPr>
        <w:t>, 986 F.2d 451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1993), opinion readopted on rehearing, 5 F.3d 495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1993), </w:t>
      </w:r>
      <w:r w:rsidRPr="00503874">
        <w:rPr>
          <w:rFonts w:ascii="Times New Roman" w:eastAsia="Arial" w:hAnsi="Times New Roman"/>
          <w:b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511 U.S. 1054, 114 S. Ct. 1615, 128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2d 342 (1994) approves this definition and instruction concerning reasonable doubt; </w:t>
      </w:r>
      <w:r w:rsidRPr="00503874">
        <w:rPr>
          <w:rFonts w:ascii="Times New Roman" w:eastAsia="Arial" w:hAnsi="Times New Roman"/>
          <w:b/>
          <w:i/>
          <w:sz w:val="26"/>
          <w:szCs w:val="26"/>
        </w:rPr>
        <w:t>see also United States v. Morris</w:t>
      </w:r>
      <w:r w:rsidRPr="00503874">
        <w:rPr>
          <w:rFonts w:ascii="Times New Roman" w:eastAsia="Arial" w:hAnsi="Times New Roman"/>
          <w:sz w:val="26"/>
          <w:szCs w:val="26"/>
        </w:rPr>
        <w:t>, 647 F.2d 568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1981); </w:t>
      </w:r>
      <w:r w:rsidRPr="00503874">
        <w:rPr>
          <w:rFonts w:ascii="Times New Roman" w:eastAsia="Arial" w:hAnsi="Times New Roman"/>
          <w:b/>
          <w:i/>
          <w:sz w:val="26"/>
          <w:szCs w:val="26"/>
        </w:rPr>
        <w:t>Victor v. Nebraska</w:t>
      </w:r>
      <w:r w:rsidRPr="00503874">
        <w:rPr>
          <w:rFonts w:ascii="Times New Roman" w:eastAsia="Arial" w:hAnsi="Times New Roman"/>
          <w:sz w:val="26"/>
          <w:szCs w:val="26"/>
        </w:rPr>
        <w:t>, 511 U.S. 1, 114 S. Ct. 1239, 127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2d 583 (1994) (discussing “reasonable doubt” definition and instruction).</w:t>
      </w:r>
      <w:bookmarkEnd w:id="0"/>
    </w:p>
    <w:sectPr w:rsidR="00725167" w:rsidRPr="00E31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289" w:rsidRDefault="002C7289" w:rsidP="002C7289">
      <w:pPr>
        <w:spacing w:after="0" w:line="240" w:lineRule="auto"/>
      </w:pPr>
      <w:r>
        <w:separator/>
      </w:r>
    </w:p>
  </w:endnote>
  <w:endnote w:type="continuationSeparator" w:id="0">
    <w:p w:rsidR="002C7289" w:rsidRDefault="002C7289" w:rsidP="002C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289" w:rsidRDefault="002C7289" w:rsidP="002C7289">
      <w:pPr>
        <w:spacing w:after="0" w:line="240" w:lineRule="auto"/>
      </w:pPr>
      <w:r>
        <w:separator/>
      </w:r>
    </w:p>
  </w:footnote>
  <w:footnote w:type="continuationSeparator" w:id="0">
    <w:p w:rsidR="002C7289" w:rsidRDefault="002C7289" w:rsidP="002C7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194E82"/>
    <w:rsid w:val="001E5B53"/>
    <w:rsid w:val="002C7289"/>
    <w:rsid w:val="00725167"/>
    <w:rsid w:val="00783A2A"/>
    <w:rsid w:val="0081575C"/>
    <w:rsid w:val="00CD51F7"/>
    <w:rsid w:val="00DA00D9"/>
    <w:rsid w:val="00DC18AE"/>
    <w:rsid w:val="00E31401"/>
    <w:rsid w:val="00E61311"/>
    <w:rsid w:val="00FC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C7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289"/>
  </w:style>
  <w:style w:type="paragraph" w:styleId="Footer">
    <w:name w:val="footer"/>
    <w:basedOn w:val="Normal"/>
    <w:link w:val="FooterChar"/>
    <w:uiPriority w:val="99"/>
    <w:unhideWhenUsed/>
    <w:rsid w:val="002C7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2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C7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289"/>
  </w:style>
  <w:style w:type="paragraph" w:styleId="Footer">
    <w:name w:val="footer"/>
    <w:basedOn w:val="Normal"/>
    <w:link w:val="FooterChar"/>
    <w:uiPriority w:val="99"/>
    <w:unhideWhenUsed/>
    <w:rsid w:val="002C7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2014-03-31T23:35:00Z</dcterms:created>
  <dcterms:modified xsi:type="dcterms:W3CDTF">2014-06-19T16:29:00Z</dcterms:modified>
</cp:coreProperties>
</file>