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F2B" w:rsidRPr="00503874" w:rsidRDefault="00BA1F2B" w:rsidP="00BA1F2B">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BA1F2B" w:rsidRPr="00503874" w:rsidRDefault="00BA1F2B" w:rsidP="00BA1F2B">
      <w:pPr>
        <w:spacing w:after="0" w:line="240" w:lineRule="auto"/>
        <w:jc w:val="both"/>
        <w:rPr>
          <w:rFonts w:ascii="Times New Roman" w:eastAsia="Arial" w:hAnsi="Times New Roman"/>
          <w:sz w:val="26"/>
          <w:szCs w:val="26"/>
        </w:rPr>
      </w:pPr>
    </w:p>
    <w:p w:rsidR="00BA1F2B" w:rsidRPr="00503874" w:rsidRDefault="00BA1F2B" w:rsidP="00BA1F2B">
      <w:pPr>
        <w:spacing w:after="0" w:line="240" w:lineRule="auto"/>
        <w:jc w:val="both"/>
        <w:rPr>
          <w:rFonts w:ascii="Times New Roman" w:eastAsia="Arial" w:hAnsi="Times New Roman"/>
          <w:sz w:val="26"/>
          <w:szCs w:val="26"/>
        </w:rPr>
      </w:pPr>
      <w:r w:rsidRPr="00886B6F">
        <w:rPr>
          <w:rFonts w:ascii="Times New Roman" w:eastAsia="Arial" w:hAnsi="Times New Roman"/>
          <w:i/>
          <w:sz w:val="26"/>
          <w:szCs w:val="26"/>
        </w:rPr>
        <w:t>United States v. Clark</w:t>
      </w:r>
      <w:r w:rsidRPr="00503874">
        <w:rPr>
          <w:rFonts w:ascii="Times New Roman" w:eastAsia="Arial" w:hAnsi="Times New Roman"/>
          <w:sz w:val="26"/>
          <w:szCs w:val="26"/>
        </w:rPr>
        <w:t>, 506 F.2d 416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1975), </w:t>
      </w:r>
      <w:r w:rsidRPr="00886B6F">
        <w:rPr>
          <w:rFonts w:ascii="Times New Roman" w:eastAsia="Arial" w:hAnsi="Times New Roman"/>
          <w:i/>
          <w:sz w:val="26"/>
          <w:szCs w:val="26"/>
        </w:rPr>
        <w:t>cert. denied</w:t>
      </w:r>
      <w:r w:rsidRPr="00503874">
        <w:rPr>
          <w:rFonts w:ascii="Times New Roman" w:eastAsia="Arial" w:hAnsi="Times New Roman"/>
          <w:sz w:val="26"/>
          <w:szCs w:val="26"/>
        </w:rPr>
        <w:t>, 421 U.S. 967, 95 S. Ct. 1957, 44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 xml:space="preserve">2d 454 (1975) approves the substance of this instruction concerning the lack of distinction between direct and circumstantial evidence; </w:t>
      </w:r>
      <w:r w:rsidRPr="00886B6F">
        <w:rPr>
          <w:rFonts w:ascii="Times New Roman" w:eastAsia="Arial" w:hAnsi="Times New Roman"/>
          <w:i/>
          <w:sz w:val="26"/>
          <w:szCs w:val="26"/>
        </w:rPr>
        <w:t>see also United States v. Barnette</w:t>
      </w:r>
      <w:r w:rsidRPr="00503874">
        <w:rPr>
          <w:rFonts w:ascii="Times New Roman" w:eastAsia="Arial" w:hAnsi="Times New Roman"/>
          <w:sz w:val="26"/>
          <w:szCs w:val="26"/>
        </w:rPr>
        <w:t>, 800 F.2d 1558, 1566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1986), </w:t>
      </w:r>
      <w:r w:rsidRPr="00886B6F">
        <w:rPr>
          <w:rFonts w:ascii="Times New Roman" w:eastAsia="Arial" w:hAnsi="Times New Roman"/>
          <w:i/>
          <w:sz w:val="26"/>
          <w:szCs w:val="26"/>
        </w:rPr>
        <w:t>reh’g denied</w:t>
      </w:r>
      <w:r w:rsidRPr="00503874">
        <w:rPr>
          <w:rFonts w:ascii="Times New Roman" w:eastAsia="Arial" w:hAnsi="Times New Roman"/>
          <w:sz w:val="26"/>
          <w:szCs w:val="26"/>
        </w:rPr>
        <w:t>, 807 F.2d 999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1986), </w:t>
      </w:r>
      <w:r w:rsidRPr="00886B6F">
        <w:rPr>
          <w:rFonts w:ascii="Times New Roman" w:eastAsia="Arial" w:hAnsi="Times New Roman"/>
          <w:i/>
          <w:sz w:val="26"/>
          <w:szCs w:val="26"/>
        </w:rPr>
        <w:t>cert. denied</w:t>
      </w:r>
      <w:r w:rsidRPr="00503874">
        <w:rPr>
          <w:rFonts w:ascii="Times New Roman" w:eastAsia="Arial" w:hAnsi="Times New Roman"/>
          <w:sz w:val="26"/>
          <w:szCs w:val="26"/>
        </w:rPr>
        <w:t>, 480 U.S. 935, 107 S. Ct. 1578, 94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 xml:space="preserve">2d 769 (1987) (noting that the “test for evaluating circumstantial evidence is the same as in evaluating direct evidence”) (citing </w:t>
      </w:r>
      <w:r w:rsidRPr="00886B6F">
        <w:rPr>
          <w:rFonts w:ascii="Times New Roman" w:eastAsia="Arial" w:hAnsi="Times New Roman"/>
          <w:i/>
          <w:sz w:val="26"/>
          <w:szCs w:val="26"/>
        </w:rPr>
        <w:t>United States v. Henderson</w:t>
      </w:r>
      <w:r w:rsidRPr="00503874">
        <w:rPr>
          <w:rFonts w:ascii="Times New Roman" w:eastAsia="Arial" w:hAnsi="Times New Roman"/>
          <w:sz w:val="26"/>
          <w:szCs w:val="26"/>
        </w:rPr>
        <w:t>, 693 F.2d 1028, 1030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1982)).</w:t>
      </w:r>
    </w:p>
    <w:p w:rsidR="00BA1F2B" w:rsidRPr="00503874" w:rsidRDefault="00BA1F2B" w:rsidP="00BA1F2B">
      <w:pPr>
        <w:spacing w:after="0" w:line="240" w:lineRule="auto"/>
        <w:jc w:val="both"/>
        <w:rPr>
          <w:rFonts w:ascii="Times New Roman" w:eastAsia="Arial" w:hAnsi="Times New Roman"/>
          <w:b/>
          <w:i/>
          <w:sz w:val="26"/>
          <w:szCs w:val="26"/>
        </w:rPr>
      </w:pPr>
    </w:p>
    <w:p w:rsidR="00BA1F2B" w:rsidRPr="00503874" w:rsidRDefault="00BA1F2B" w:rsidP="00BA1F2B">
      <w:pPr>
        <w:spacing w:after="0" w:line="240" w:lineRule="auto"/>
        <w:jc w:val="both"/>
        <w:rPr>
          <w:rFonts w:ascii="Times New Roman" w:eastAsia="Arial" w:hAnsi="Times New Roman"/>
          <w:b/>
          <w:i/>
          <w:sz w:val="26"/>
          <w:szCs w:val="26"/>
        </w:rPr>
      </w:pPr>
      <w:r w:rsidRPr="00886B6F">
        <w:rPr>
          <w:rFonts w:ascii="Times New Roman" w:eastAsia="Arial" w:hAnsi="Times New Roman"/>
          <w:i/>
          <w:sz w:val="26"/>
          <w:szCs w:val="26"/>
        </w:rPr>
        <w:t>United States v. Hope</w:t>
      </w:r>
      <w:r w:rsidRPr="00503874">
        <w:rPr>
          <w:rFonts w:ascii="Times New Roman" w:eastAsia="Arial" w:hAnsi="Times New Roman"/>
          <w:sz w:val="26"/>
          <w:szCs w:val="26"/>
        </w:rPr>
        <w:t>, 714 F.2d 1084, 1087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1983) (“A trial judge may comment upon the evidence as long as he instructs the jury that it is the sole judge of the facts and that it is not bound by his comments and as long as the comments are not so highly prejudicial that an instruction to that effect cannot cure the error.”) (citing </w:t>
      </w:r>
      <w:r w:rsidRPr="00886B6F">
        <w:rPr>
          <w:rFonts w:ascii="Times New Roman" w:eastAsia="Arial" w:hAnsi="Times New Roman"/>
          <w:i/>
          <w:sz w:val="26"/>
          <w:szCs w:val="26"/>
        </w:rPr>
        <w:t>United States v. Buchanan</w:t>
      </w:r>
      <w:r w:rsidRPr="00503874">
        <w:rPr>
          <w:rFonts w:ascii="Times New Roman" w:eastAsia="Arial" w:hAnsi="Times New Roman"/>
          <w:sz w:val="26"/>
          <w:szCs w:val="26"/>
        </w:rPr>
        <w:t>, 585 F.2d 100, 102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1978)). </w:t>
      </w:r>
      <w:r w:rsidRPr="00886B6F">
        <w:rPr>
          <w:rFonts w:ascii="Times New Roman" w:eastAsia="Arial" w:hAnsi="Times New Roman"/>
          <w:i/>
          <w:sz w:val="26"/>
          <w:szCs w:val="26"/>
        </w:rPr>
        <w:t>See also United States v. Jenkins</w:t>
      </w:r>
      <w:r w:rsidRPr="00503874">
        <w:rPr>
          <w:rFonts w:ascii="Times New Roman" w:eastAsia="Arial" w:hAnsi="Times New Roman"/>
          <w:sz w:val="26"/>
          <w:szCs w:val="26"/>
        </w:rPr>
        <w:t>, 901 F.2d 1075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1990).</w:t>
      </w:r>
    </w:p>
    <w:p w:rsidR="00BA1F2B" w:rsidRPr="00503874" w:rsidRDefault="00BA1F2B" w:rsidP="00BA1F2B">
      <w:pPr>
        <w:spacing w:after="0" w:line="240" w:lineRule="auto"/>
        <w:jc w:val="both"/>
        <w:rPr>
          <w:rFonts w:ascii="Times New Roman" w:eastAsia="Arial" w:hAnsi="Times New Roman"/>
          <w:sz w:val="26"/>
          <w:szCs w:val="26"/>
        </w:rPr>
      </w:pPr>
    </w:p>
    <w:p w:rsidR="00BA1F2B" w:rsidRPr="00503874" w:rsidRDefault="00BA1F2B" w:rsidP="00BA1F2B">
      <w:pPr>
        <w:spacing w:after="0" w:line="240" w:lineRule="auto"/>
        <w:jc w:val="both"/>
        <w:rPr>
          <w:rFonts w:ascii="Times New Roman" w:eastAsia="Arial" w:hAnsi="Times New Roman"/>
          <w:sz w:val="26"/>
          <w:szCs w:val="26"/>
        </w:rPr>
      </w:pPr>
      <w:r w:rsidRPr="00886B6F">
        <w:rPr>
          <w:rFonts w:ascii="Times New Roman" w:eastAsia="Arial" w:hAnsi="Times New Roman"/>
          <w:i/>
          <w:sz w:val="26"/>
          <w:szCs w:val="26"/>
        </w:rPr>
        <w:t>United States v. Granville</w:t>
      </w:r>
      <w:r w:rsidRPr="00503874">
        <w:rPr>
          <w:rFonts w:ascii="Times New Roman" w:eastAsia="Arial" w:hAnsi="Times New Roman"/>
          <w:sz w:val="26"/>
          <w:szCs w:val="26"/>
        </w:rPr>
        <w:t>, 716 F.2d 819, 822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1983) notes that the jury was correctly instructed that the arguments of counsel should not be considered as evidence (citing </w:t>
      </w:r>
      <w:r w:rsidRPr="00886B6F">
        <w:rPr>
          <w:rFonts w:ascii="Times New Roman" w:eastAsia="Arial" w:hAnsi="Times New Roman"/>
          <w:i/>
          <w:sz w:val="26"/>
          <w:szCs w:val="26"/>
        </w:rPr>
        <w:t>United States v. Phillips</w:t>
      </w:r>
      <w:r w:rsidRPr="00503874">
        <w:rPr>
          <w:rFonts w:ascii="Times New Roman" w:eastAsia="Arial" w:hAnsi="Times New Roman"/>
          <w:sz w:val="26"/>
          <w:szCs w:val="26"/>
        </w:rPr>
        <w:t>, 664 F.2d 971, 1031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1981)); </w:t>
      </w:r>
      <w:r w:rsidRPr="00886B6F">
        <w:rPr>
          <w:rFonts w:ascii="Times New Roman" w:eastAsia="Arial" w:hAnsi="Times New Roman"/>
          <w:i/>
          <w:sz w:val="26"/>
          <w:szCs w:val="26"/>
        </w:rPr>
        <w:t>see also United States v. Siegel</w:t>
      </w:r>
      <w:r w:rsidRPr="00503874">
        <w:rPr>
          <w:rFonts w:ascii="Times New Roman" w:eastAsia="Arial" w:hAnsi="Times New Roman"/>
          <w:sz w:val="26"/>
          <w:szCs w:val="26"/>
        </w:rPr>
        <w:t>, 587 F.2d 721, 727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1979).</w:t>
      </w:r>
    </w:p>
    <w:p w:rsidR="00BA1F2B" w:rsidRPr="00503874" w:rsidRDefault="00BA1F2B" w:rsidP="00BA1F2B">
      <w:pPr>
        <w:spacing w:after="0" w:line="240" w:lineRule="auto"/>
        <w:jc w:val="both"/>
        <w:rPr>
          <w:rFonts w:ascii="Times New Roman" w:eastAsia="Arial" w:hAnsi="Times New Roman"/>
          <w:sz w:val="26"/>
          <w:szCs w:val="26"/>
        </w:rPr>
      </w:pPr>
    </w:p>
    <w:p w:rsidR="00725167" w:rsidRPr="00886B6F" w:rsidRDefault="00BA1F2B" w:rsidP="00BA1F2B">
      <w:pPr>
        <w:spacing w:after="0" w:line="240" w:lineRule="auto"/>
        <w:jc w:val="both"/>
        <w:rPr>
          <w:rFonts w:ascii="Times New Roman" w:eastAsia="Arial" w:hAnsi="Times New Roman"/>
          <w:spacing w:val="-2"/>
          <w:sz w:val="26"/>
          <w:szCs w:val="26"/>
        </w:rPr>
      </w:pPr>
      <w:r w:rsidRPr="00886B6F">
        <w:rPr>
          <w:rFonts w:ascii="Times New Roman" w:eastAsia="Arial" w:hAnsi="Times New Roman"/>
          <w:spacing w:val="-2"/>
          <w:sz w:val="26"/>
          <w:szCs w:val="26"/>
        </w:rPr>
        <w:t>For an alternative description of evidence, see Preliminary Instruction, “what is evidence.”</w:t>
      </w:r>
      <w:bookmarkEnd w:id="0"/>
    </w:p>
    <w:sectPr w:rsidR="00725167" w:rsidRPr="00886B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502" w:rsidRDefault="00DC3502" w:rsidP="00DC3502">
      <w:pPr>
        <w:spacing w:after="0" w:line="240" w:lineRule="auto"/>
      </w:pPr>
      <w:r>
        <w:separator/>
      </w:r>
    </w:p>
  </w:endnote>
  <w:endnote w:type="continuationSeparator" w:id="0">
    <w:p w:rsidR="00DC3502" w:rsidRDefault="00DC3502" w:rsidP="00DC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502" w:rsidRDefault="00DC3502" w:rsidP="00DC3502">
      <w:pPr>
        <w:spacing w:after="0" w:line="240" w:lineRule="auto"/>
      </w:pPr>
      <w:r>
        <w:separator/>
      </w:r>
    </w:p>
  </w:footnote>
  <w:footnote w:type="continuationSeparator" w:id="0">
    <w:p w:rsidR="00DC3502" w:rsidRDefault="00DC3502" w:rsidP="00DC3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194E82"/>
    <w:rsid w:val="001E5B53"/>
    <w:rsid w:val="00725167"/>
    <w:rsid w:val="00783A2A"/>
    <w:rsid w:val="0081575C"/>
    <w:rsid w:val="00886B6F"/>
    <w:rsid w:val="00B031EE"/>
    <w:rsid w:val="00BA1F2B"/>
    <w:rsid w:val="00CD51F7"/>
    <w:rsid w:val="00DA00D9"/>
    <w:rsid w:val="00DC18AE"/>
    <w:rsid w:val="00DC3502"/>
    <w:rsid w:val="00E31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Header">
    <w:name w:val="header"/>
    <w:basedOn w:val="Normal"/>
    <w:link w:val="HeaderChar"/>
    <w:uiPriority w:val="99"/>
    <w:unhideWhenUsed/>
    <w:rsid w:val="00DC3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502"/>
  </w:style>
  <w:style w:type="paragraph" w:styleId="Footer">
    <w:name w:val="footer"/>
    <w:basedOn w:val="Normal"/>
    <w:link w:val="FooterChar"/>
    <w:uiPriority w:val="99"/>
    <w:unhideWhenUsed/>
    <w:rsid w:val="00DC3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Header">
    <w:name w:val="header"/>
    <w:basedOn w:val="Normal"/>
    <w:link w:val="HeaderChar"/>
    <w:uiPriority w:val="99"/>
    <w:unhideWhenUsed/>
    <w:rsid w:val="00DC3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502"/>
  </w:style>
  <w:style w:type="paragraph" w:styleId="Footer">
    <w:name w:val="footer"/>
    <w:basedOn w:val="Normal"/>
    <w:link w:val="FooterChar"/>
    <w:uiPriority w:val="99"/>
    <w:unhideWhenUsed/>
    <w:rsid w:val="00DC3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1301</Characters>
  <Application>Microsoft Office Word</Application>
  <DocSecurity>0</DocSecurity>
  <Lines>10</Lines>
  <Paragraphs>3</Paragraphs>
  <ScaleCrop>false</ScaleCrop>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2014-03-31T23:35:00Z</dcterms:created>
  <dcterms:modified xsi:type="dcterms:W3CDTF">2014-06-19T16:26:00Z</dcterms:modified>
</cp:coreProperties>
</file>