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634293" w14:textId="77777777" w:rsidR="007C3B2A" w:rsidRPr="009A2E2B" w:rsidRDefault="007C3B2A" w:rsidP="00FB0E46">
      <w:pPr>
        <w:spacing w:after="200"/>
        <w:jc w:val="both"/>
        <w:rPr>
          <w:rFonts w:ascii="Times New Roman" w:hAnsi="Times New Roman" w:cs="Times New Roman"/>
          <w:b/>
          <w:sz w:val="26"/>
          <w:szCs w:val="26"/>
          <w:u w:val="single"/>
        </w:rPr>
      </w:pPr>
      <w:r w:rsidRPr="009A2E2B">
        <w:rPr>
          <w:rFonts w:ascii="Times New Roman" w:hAnsi="Times New Roman" w:cs="Times New Roman"/>
          <w:b/>
          <w:sz w:val="26"/>
          <w:szCs w:val="26"/>
          <w:u w:val="single"/>
        </w:rPr>
        <w:t>ANNOTATIONS AND COMMENTS</w:t>
      </w:r>
    </w:p>
    <w:p w14:paraId="07FDF70B" w14:textId="77777777" w:rsidR="007C3B2A" w:rsidRPr="009A2E2B" w:rsidRDefault="007C3B2A" w:rsidP="00FB0E46">
      <w:pPr>
        <w:pStyle w:val="BodyText"/>
        <w:spacing w:after="200"/>
        <w:jc w:val="both"/>
        <w:rPr>
          <w:rFonts w:ascii="Times New Roman" w:hAnsi="Times New Roman" w:cs="Times New Roman"/>
          <w:u w:val="none"/>
        </w:rPr>
      </w:pPr>
      <w:r w:rsidRPr="009A2E2B">
        <w:rPr>
          <w:rFonts w:ascii="Times New Roman" w:hAnsi="Times New Roman" w:cs="Times New Roman"/>
          <w:u w:val="none"/>
        </w:rPr>
        <w:t xml:space="preserve">“[I]t is well-established . . . that a disjunctive statute may be pleaded conjunctively and proved disjunctively.”  </w:t>
      </w:r>
      <w:r w:rsidRPr="009A2E2B">
        <w:rPr>
          <w:rFonts w:ascii="Times New Roman" w:hAnsi="Times New Roman" w:cs="Times New Roman"/>
          <w:i/>
          <w:u w:val="none"/>
        </w:rPr>
        <w:t>United States v. Williams</w:t>
      </w:r>
      <w:r w:rsidRPr="009A2E2B">
        <w:rPr>
          <w:rFonts w:ascii="Times New Roman" w:hAnsi="Times New Roman" w:cs="Times New Roman"/>
          <w:u w:val="none"/>
        </w:rPr>
        <w:t xml:space="preserve">, 790 F.3d 1240, 1245 n.2 (11th Cir. 2015) (quoting </w:t>
      </w:r>
      <w:r w:rsidRPr="009A2E2B">
        <w:rPr>
          <w:rFonts w:ascii="Times New Roman" w:hAnsi="Times New Roman" w:cs="Times New Roman"/>
          <w:i/>
          <w:u w:val="none"/>
        </w:rPr>
        <w:t xml:space="preserve">United States v. </w:t>
      </w:r>
      <w:proofErr w:type="spellStart"/>
      <w:r w:rsidRPr="009A2E2B">
        <w:rPr>
          <w:rFonts w:ascii="Times New Roman" w:hAnsi="Times New Roman" w:cs="Times New Roman"/>
          <w:i/>
          <w:u w:val="none"/>
        </w:rPr>
        <w:t>Haymes</w:t>
      </w:r>
      <w:proofErr w:type="spellEnd"/>
      <w:r w:rsidRPr="009A2E2B">
        <w:rPr>
          <w:rFonts w:ascii="Times New Roman" w:hAnsi="Times New Roman" w:cs="Times New Roman"/>
          <w:u w:val="none"/>
        </w:rPr>
        <w:t xml:space="preserve">, 610 F.2d 309, 310 (5th Cir. 1980) (citing </w:t>
      </w:r>
      <w:r w:rsidRPr="009A2E2B">
        <w:rPr>
          <w:rFonts w:ascii="Times New Roman" w:hAnsi="Times New Roman" w:cs="Times New Roman"/>
          <w:i/>
          <w:u w:val="none"/>
        </w:rPr>
        <w:t>United States v. Quiroz-Carrasco</w:t>
      </w:r>
      <w:r w:rsidRPr="009A2E2B">
        <w:rPr>
          <w:rFonts w:ascii="Times New Roman" w:hAnsi="Times New Roman" w:cs="Times New Roman"/>
          <w:u w:val="none"/>
        </w:rPr>
        <w:t xml:space="preserve">, 565 F.2d 1328, 1331 (5th Cir. 1978)); </w:t>
      </w:r>
      <w:r w:rsidRPr="009A2E2B">
        <w:rPr>
          <w:rFonts w:ascii="Times New Roman" w:hAnsi="Times New Roman" w:cs="Times New Roman"/>
          <w:i/>
          <w:u w:val="none"/>
        </w:rPr>
        <w:t>see also Bonner v. City of Prichard</w:t>
      </w:r>
      <w:r w:rsidRPr="009A2E2B">
        <w:rPr>
          <w:rFonts w:ascii="Times New Roman" w:hAnsi="Times New Roman" w:cs="Times New Roman"/>
          <w:u w:val="none"/>
        </w:rPr>
        <w:t xml:space="preserve">, 661 F.2d 1206, 1209 (11th Cir. 1981) (adopting as binding precedent all decisions of the former Fifth Circuit issued on or before September 30, 1981). </w:t>
      </w:r>
    </w:p>
    <w:p w14:paraId="34FB1B5E" w14:textId="77777777" w:rsidR="007C3B2A" w:rsidRPr="009A2E2B" w:rsidRDefault="007C3B2A" w:rsidP="00FB0E46">
      <w:pPr>
        <w:pStyle w:val="BodyText"/>
        <w:spacing w:after="200"/>
        <w:jc w:val="both"/>
        <w:rPr>
          <w:rFonts w:ascii="Times New Roman" w:hAnsi="Times New Roman" w:cs="Times New Roman"/>
          <w:i/>
          <w:u w:val="none"/>
        </w:rPr>
      </w:pPr>
      <w:r w:rsidRPr="009A2E2B">
        <w:rPr>
          <w:rFonts w:ascii="Times New Roman" w:hAnsi="Times New Roman" w:cs="Times New Roman"/>
          <w:u w:val="none"/>
        </w:rPr>
        <w:t xml:space="preserve">In other words, “when a defendant is charged in an indictment conjunctively with alternative means or alternative mental states, any one of which will satisfy an element of the crime, the ‘jury instruction may properly be framed in the disjunctive’ without a constructive amendment taking place.”  </w:t>
      </w:r>
      <w:r w:rsidRPr="009A2E2B">
        <w:rPr>
          <w:rFonts w:ascii="Times New Roman" w:hAnsi="Times New Roman" w:cs="Times New Roman"/>
          <w:i/>
          <w:u w:val="none"/>
        </w:rPr>
        <w:t xml:space="preserve">United States v. </w:t>
      </w:r>
      <w:proofErr w:type="spellStart"/>
      <w:r w:rsidRPr="009A2E2B">
        <w:rPr>
          <w:rFonts w:ascii="Times New Roman" w:hAnsi="Times New Roman" w:cs="Times New Roman"/>
          <w:i/>
          <w:u w:val="none"/>
        </w:rPr>
        <w:t>Mozie</w:t>
      </w:r>
      <w:proofErr w:type="spellEnd"/>
      <w:r w:rsidRPr="009A2E2B">
        <w:rPr>
          <w:rFonts w:ascii="Times New Roman" w:hAnsi="Times New Roman" w:cs="Times New Roman"/>
          <w:u w:val="none"/>
        </w:rPr>
        <w:t xml:space="preserve">, 752 F.3d 1271, 1284 (11th Cir. 2014) (quoting </w:t>
      </w:r>
      <w:r w:rsidRPr="009A2E2B">
        <w:rPr>
          <w:rFonts w:ascii="Times New Roman" w:hAnsi="Times New Roman" w:cs="Times New Roman"/>
          <w:i/>
          <w:u w:val="none"/>
        </w:rPr>
        <w:t>United States v. Simpson</w:t>
      </w:r>
      <w:r w:rsidRPr="009A2E2B">
        <w:rPr>
          <w:rFonts w:ascii="Times New Roman" w:hAnsi="Times New Roman" w:cs="Times New Roman"/>
          <w:u w:val="none"/>
        </w:rPr>
        <w:t xml:space="preserve">, 228 F.3d 1294, 1300 (11th Cir. 2000)).  “The rule applies not only to alternative acts that satisfy a statutory element, but also to alternative mental states that may satisfy an element.”  </w:t>
      </w:r>
      <w:r w:rsidRPr="009A2E2B">
        <w:rPr>
          <w:rFonts w:ascii="Times New Roman" w:hAnsi="Times New Roman" w:cs="Times New Roman"/>
          <w:i/>
          <w:u w:val="none"/>
        </w:rPr>
        <w:t xml:space="preserve">Id. </w:t>
      </w:r>
      <w:r w:rsidRPr="009A2E2B">
        <w:rPr>
          <w:rFonts w:ascii="Times New Roman" w:hAnsi="Times New Roman" w:cs="Times New Roman"/>
          <w:u w:val="none"/>
        </w:rPr>
        <w:t xml:space="preserve">(citing </w:t>
      </w:r>
      <w:proofErr w:type="spellStart"/>
      <w:r w:rsidRPr="009A2E2B">
        <w:rPr>
          <w:rFonts w:ascii="Times New Roman" w:hAnsi="Times New Roman" w:cs="Times New Roman"/>
          <w:i/>
          <w:u w:val="none"/>
        </w:rPr>
        <w:t>Haymes</w:t>
      </w:r>
      <w:proofErr w:type="spellEnd"/>
      <w:r w:rsidRPr="009A2E2B">
        <w:rPr>
          <w:rFonts w:ascii="Times New Roman" w:hAnsi="Times New Roman" w:cs="Times New Roman"/>
          <w:u w:val="none"/>
        </w:rPr>
        <w:t>, 610 F.2d at 310–11).</w:t>
      </w:r>
    </w:p>
    <w:p w14:paraId="2055ABBC" w14:textId="77777777" w:rsidR="007C3B2A" w:rsidRPr="009A2E2B" w:rsidRDefault="007C3B2A" w:rsidP="007564E2">
      <w:pPr>
        <w:pStyle w:val="BodyText"/>
        <w:spacing w:after="200"/>
        <w:jc w:val="both"/>
        <w:rPr>
          <w:rFonts w:ascii="Times New Roman" w:hAnsi="Times New Roman" w:cs="Times New Roman"/>
          <w:u w:val="none"/>
        </w:rPr>
      </w:pPr>
      <w:r w:rsidRPr="009A2E2B">
        <w:rPr>
          <w:rFonts w:ascii="Times New Roman" w:hAnsi="Times New Roman" w:cs="Times New Roman"/>
          <w:u w:val="none"/>
        </w:rPr>
        <w:t xml:space="preserve"> “This is not only a permissible practice but also a common one.”  </w:t>
      </w:r>
      <w:r w:rsidRPr="009A2E2B">
        <w:rPr>
          <w:rFonts w:ascii="Times New Roman" w:hAnsi="Times New Roman" w:cs="Times New Roman"/>
          <w:i/>
          <w:u w:val="none"/>
        </w:rPr>
        <w:t>Id.</w:t>
      </w:r>
      <w:r w:rsidRPr="009A2E2B">
        <w:rPr>
          <w:rFonts w:ascii="Times New Roman" w:hAnsi="Times New Roman" w:cs="Times New Roman"/>
          <w:u w:val="none"/>
        </w:rPr>
        <w:t xml:space="preserve"> (quoting </w:t>
      </w:r>
      <w:r w:rsidRPr="009A2E2B">
        <w:rPr>
          <w:rFonts w:ascii="Times New Roman" w:hAnsi="Times New Roman" w:cs="Times New Roman"/>
          <w:i/>
          <w:u w:val="none"/>
        </w:rPr>
        <w:t>United States v. Howard</w:t>
      </w:r>
      <w:r w:rsidRPr="009A2E2B">
        <w:rPr>
          <w:rFonts w:ascii="Times New Roman" w:hAnsi="Times New Roman" w:cs="Times New Roman"/>
          <w:u w:val="none"/>
        </w:rPr>
        <w:t xml:space="preserve">, 742 F.3d 1334, 1343 n.3 (11th Cir. 2014)) (“Prosecutors can and frequently do . . . charge alternative elements in the conjunctive and prove one or more of them in the disjunctive, which is constitutionally permissible.”); </w:t>
      </w:r>
      <w:r w:rsidRPr="009A2E2B">
        <w:rPr>
          <w:rFonts w:ascii="Times New Roman" w:hAnsi="Times New Roman" w:cs="Times New Roman"/>
          <w:i/>
          <w:u w:val="none"/>
        </w:rPr>
        <w:t>see also Simpson</w:t>
      </w:r>
      <w:r w:rsidRPr="009A2E2B">
        <w:rPr>
          <w:rFonts w:ascii="Times New Roman" w:hAnsi="Times New Roman" w:cs="Times New Roman"/>
          <w:u w:val="none"/>
        </w:rPr>
        <w:t>, 228 F.3d at 1300.</w:t>
      </w:r>
      <w:bookmarkStart w:id="0" w:name="_GoBack"/>
      <w:bookmarkEnd w:id="0"/>
    </w:p>
    <w:sectPr w:rsidR="007C3B2A" w:rsidRPr="009A2E2B" w:rsidSect="007C3B2A">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7BDD9D" w14:textId="77777777" w:rsidR="004C4FDD" w:rsidRDefault="004C4FDD" w:rsidP="004C4FDD">
      <w:r>
        <w:separator/>
      </w:r>
    </w:p>
  </w:endnote>
  <w:endnote w:type="continuationSeparator" w:id="0">
    <w:p w14:paraId="64570747" w14:textId="77777777" w:rsidR="004C4FDD" w:rsidRDefault="004C4FDD" w:rsidP="004C4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67E843" w14:textId="77777777" w:rsidR="004C4FDD" w:rsidRDefault="004C4FDD" w:rsidP="004C4FDD">
      <w:r>
        <w:separator/>
      </w:r>
    </w:p>
  </w:footnote>
  <w:footnote w:type="continuationSeparator" w:id="0">
    <w:p w14:paraId="5BC1C546" w14:textId="77777777" w:rsidR="004C4FDD" w:rsidRDefault="004C4FDD" w:rsidP="004C4F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B2A"/>
    <w:rsid w:val="00134DEA"/>
    <w:rsid w:val="001B0D48"/>
    <w:rsid w:val="003063A4"/>
    <w:rsid w:val="0047317F"/>
    <w:rsid w:val="0047572F"/>
    <w:rsid w:val="004C4FDD"/>
    <w:rsid w:val="007564E2"/>
    <w:rsid w:val="0078770F"/>
    <w:rsid w:val="007C3B2A"/>
    <w:rsid w:val="00983FF0"/>
    <w:rsid w:val="009A2E2B"/>
    <w:rsid w:val="00FB0E46"/>
    <w:rsid w:val="00FD2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43CE7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3B2A"/>
    <w:pPr>
      <w:widowControl w:val="0"/>
      <w:autoSpaceDE w:val="0"/>
      <w:autoSpaceDN w:val="0"/>
      <w:spacing w:after="0" w:line="240" w:lineRule="auto"/>
    </w:pPr>
    <w:rPr>
      <w:rFonts w:ascii="Calisto MT" w:eastAsia="Calisto MT" w:hAnsi="Calisto MT" w:cs="Calisto M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7C3B2A"/>
    <w:rPr>
      <w:sz w:val="26"/>
      <w:szCs w:val="26"/>
      <w:u w:val="single" w:color="000000"/>
    </w:rPr>
  </w:style>
  <w:style w:type="character" w:customStyle="1" w:styleId="BodyTextChar">
    <w:name w:val="Body Text Char"/>
    <w:basedOn w:val="DefaultParagraphFont"/>
    <w:link w:val="BodyText"/>
    <w:uiPriority w:val="1"/>
    <w:rsid w:val="007C3B2A"/>
    <w:rPr>
      <w:rFonts w:ascii="Calisto MT" w:eastAsia="Calisto MT" w:hAnsi="Calisto MT" w:cs="Calisto MT"/>
      <w:sz w:val="26"/>
      <w:szCs w:val="26"/>
      <w:u w:val="single" w:color="000000"/>
    </w:rPr>
  </w:style>
  <w:style w:type="paragraph" w:styleId="Header">
    <w:name w:val="header"/>
    <w:basedOn w:val="Normal"/>
    <w:link w:val="HeaderChar"/>
    <w:uiPriority w:val="99"/>
    <w:unhideWhenUsed/>
    <w:rsid w:val="004C4FDD"/>
    <w:pPr>
      <w:tabs>
        <w:tab w:val="center" w:pos="4680"/>
        <w:tab w:val="right" w:pos="9360"/>
      </w:tabs>
    </w:pPr>
  </w:style>
  <w:style w:type="character" w:customStyle="1" w:styleId="HeaderChar">
    <w:name w:val="Header Char"/>
    <w:basedOn w:val="DefaultParagraphFont"/>
    <w:link w:val="Header"/>
    <w:uiPriority w:val="99"/>
    <w:rsid w:val="004C4FDD"/>
    <w:rPr>
      <w:rFonts w:ascii="Calisto MT" w:eastAsia="Calisto MT" w:hAnsi="Calisto MT" w:cs="Calisto MT"/>
    </w:rPr>
  </w:style>
  <w:style w:type="paragraph" w:styleId="Footer">
    <w:name w:val="footer"/>
    <w:basedOn w:val="Normal"/>
    <w:link w:val="FooterChar"/>
    <w:uiPriority w:val="99"/>
    <w:unhideWhenUsed/>
    <w:rsid w:val="004C4FDD"/>
    <w:pPr>
      <w:tabs>
        <w:tab w:val="center" w:pos="4680"/>
        <w:tab w:val="right" w:pos="9360"/>
      </w:tabs>
    </w:pPr>
  </w:style>
  <w:style w:type="character" w:customStyle="1" w:styleId="FooterChar">
    <w:name w:val="Footer Char"/>
    <w:basedOn w:val="DefaultParagraphFont"/>
    <w:link w:val="Footer"/>
    <w:uiPriority w:val="99"/>
    <w:rsid w:val="004C4FDD"/>
    <w:rPr>
      <w:rFonts w:ascii="Calisto MT" w:eastAsia="Calisto MT" w:hAnsi="Calisto MT" w:cs="Calisto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Words>
  <Characters>1306</Characters>
  <Application>Microsoft Office Word</Application>
  <DocSecurity>0</DocSecurity>
  <Lines>10</Lines>
  <Paragraphs>3</Paragraphs>
  <ScaleCrop>false</ScaleCrop>
  <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2020-01-28T20:06:00Z</dcterms:created>
  <dcterms:modified xsi:type="dcterms:W3CDTF">2020-02-12T21:12:00Z</dcterms:modified>
</cp:coreProperties>
</file>