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B2BFC" w14:textId="7B99B989" w:rsidR="00853A01" w:rsidRPr="00503874" w:rsidRDefault="00853A01" w:rsidP="00B06871">
      <w:pPr>
        <w:spacing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14:paraId="6DB33F15" w14:textId="77777777" w:rsidR="00853A01" w:rsidRPr="00B85D99" w:rsidRDefault="00853A01" w:rsidP="00853A0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  <w:u w:val="single"/>
        </w:rPr>
        <w:t>United States v. Creamer</w:t>
      </w:r>
      <w:r w:rsidRPr="00503874">
        <w:rPr>
          <w:rFonts w:ascii="Times New Roman" w:eastAsia="Arial" w:hAnsi="Times New Roman"/>
          <w:sz w:val="26"/>
          <w:szCs w:val="26"/>
        </w:rPr>
        <w:t>, 721 F.2d 342, 343 (11</w:t>
      </w:r>
      <w:r w:rsidRPr="000C205C">
        <w:rPr>
          <w:rFonts w:ascii="Times New Roman" w:eastAsia="Arial" w:hAnsi="Times New Roman"/>
          <w:sz w:val="26"/>
          <w:szCs w:val="26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1983), “on or about” language upheld in case in which alibi defense was used by the defendant; the court “rejected the contention that time becomes a material element of a criminal offense merely because the defense of alibi is advanced.” </w:t>
      </w:r>
      <w:r w:rsidRPr="00766EC8">
        <w:rPr>
          <w:rFonts w:ascii="Times New Roman" w:eastAsia="Arial" w:hAnsi="Times New Roman"/>
          <w:i/>
          <w:sz w:val="26"/>
          <w:szCs w:val="26"/>
        </w:rPr>
        <w:t>See also United States v. Reed</w:t>
      </w:r>
      <w:r w:rsidRPr="00503874">
        <w:rPr>
          <w:rFonts w:ascii="Times New Roman" w:eastAsia="Arial" w:hAnsi="Times New Roman"/>
          <w:sz w:val="26"/>
          <w:szCs w:val="26"/>
        </w:rPr>
        <w:t>, 887 F.2d 1398 (11</w:t>
      </w:r>
      <w:r w:rsidRPr="000C205C">
        <w:rPr>
          <w:rFonts w:ascii="Times New Roman" w:eastAsia="Arial" w:hAnsi="Times New Roman"/>
          <w:sz w:val="26"/>
          <w:szCs w:val="26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1989), </w:t>
      </w:r>
      <w:r w:rsidRPr="00766EC8">
        <w:rPr>
          <w:rFonts w:ascii="Times New Roman" w:eastAsia="Arial" w:hAnsi="Times New Roman"/>
          <w:i/>
          <w:sz w:val="26"/>
          <w:szCs w:val="26"/>
        </w:rPr>
        <w:t>reh’g denied</w:t>
      </w:r>
      <w:r w:rsidRPr="00503874">
        <w:rPr>
          <w:rFonts w:ascii="Times New Roman" w:eastAsia="Arial" w:hAnsi="Times New Roman"/>
          <w:sz w:val="26"/>
          <w:szCs w:val="26"/>
        </w:rPr>
        <w:t xml:space="preserve">, 891 F.2d 907 (1989), </w:t>
      </w:r>
      <w:r w:rsidRPr="00766EC8">
        <w:rPr>
          <w:rFonts w:ascii="Times New Roman" w:eastAsia="Arial" w:hAnsi="Times New Roman"/>
          <w:i/>
          <w:sz w:val="26"/>
          <w:szCs w:val="26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>, 493 U.S. 1080, 110 S. Ct. 1136, 107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2d 1041 (1990).</w:t>
      </w:r>
    </w:p>
    <w:p w14:paraId="07699F0B" w14:textId="77777777" w:rsidR="005764C5" w:rsidRDefault="005764C5"/>
    <w:sectPr w:rsidR="005764C5" w:rsidSect="00F4487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799B1" w14:textId="77777777" w:rsidR="00B06871" w:rsidRDefault="00B068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785A5" w14:textId="77777777" w:rsidR="00B06871" w:rsidRDefault="00B06871" w:rsidP="007D5356">
    <w:pPr>
      <w:rPr>
        <w:rFonts w:ascii="Times New Roman" w:hAnsi="Times New Roman" w:cs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E9667" w14:textId="77777777" w:rsidR="00B06871" w:rsidRDefault="00B0687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7EEFC" w14:textId="77777777" w:rsidR="00B06871" w:rsidRDefault="00B068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4C893" w14:textId="77777777" w:rsidR="00B06871" w:rsidRDefault="00B068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D1DDE" w14:textId="77777777" w:rsidR="00B06871" w:rsidRDefault="00B068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A01"/>
    <w:rsid w:val="001A558C"/>
    <w:rsid w:val="005764C5"/>
    <w:rsid w:val="007B42AB"/>
    <w:rsid w:val="00853A01"/>
    <w:rsid w:val="00B06871"/>
    <w:rsid w:val="00F8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77399"/>
  <w15:chartTrackingRefBased/>
  <w15:docId w15:val="{44CB1310-5EB8-4004-BEFA-13669F81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A0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3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A0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53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A0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2</cp:revision>
  <dcterms:created xsi:type="dcterms:W3CDTF">2024-03-20T16:12:00Z</dcterms:created>
  <dcterms:modified xsi:type="dcterms:W3CDTF">2024-03-20T16:15:00Z</dcterms:modified>
</cp:coreProperties>
</file>