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E7F" w:rsidRPr="00B07838" w:rsidRDefault="00F11E7F" w:rsidP="00B07838">
      <w:pPr>
        <w:spacing w:after="0" w:line="240" w:lineRule="auto"/>
        <w:jc w:val="both"/>
        <w:rPr>
          <w:rFonts w:ascii="Times New Roman" w:eastAsia="Arial" w:hAnsi="Times New Roman"/>
          <w:b/>
          <w:sz w:val="26"/>
          <w:szCs w:val="26"/>
          <w:u w:val="single"/>
        </w:rPr>
      </w:pPr>
      <w:r w:rsidRPr="00B07838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F11E7F" w:rsidRPr="005E0DF8" w:rsidRDefault="00F11E7F" w:rsidP="00F11E7F">
      <w:pPr>
        <w:spacing w:before="11" w:after="0" w:line="280" w:lineRule="exact"/>
        <w:rPr>
          <w:rFonts w:ascii="Times New Roman" w:hAnsi="Times New Roman" w:cs="Times New Roman"/>
          <w:sz w:val="26"/>
          <w:szCs w:val="26"/>
        </w:rPr>
      </w:pPr>
    </w:p>
    <w:p w:rsidR="00B41321" w:rsidRDefault="00F11E7F" w:rsidP="00B0783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B07838">
        <w:rPr>
          <w:rFonts w:ascii="Times New Roman" w:eastAsia="Arial" w:hAnsi="Times New Roman"/>
          <w:sz w:val="26"/>
          <w:szCs w:val="26"/>
        </w:rPr>
        <w:t>18 U.S.C. § 111(a</w:t>
      </w:r>
      <w:proofErr w:type="gramStart"/>
      <w:r w:rsidRPr="00B07838">
        <w:rPr>
          <w:rFonts w:ascii="Times New Roman" w:eastAsia="Arial" w:hAnsi="Times New Roman"/>
          <w:sz w:val="26"/>
          <w:szCs w:val="26"/>
        </w:rPr>
        <w:t>)(</w:t>
      </w:r>
      <w:proofErr w:type="gramEnd"/>
      <w:r w:rsidRPr="00B07838">
        <w:rPr>
          <w:rFonts w:ascii="Times New Roman" w:eastAsia="Arial" w:hAnsi="Times New Roman"/>
          <w:sz w:val="26"/>
          <w:szCs w:val="26"/>
        </w:rPr>
        <w:t>1) provides:</w:t>
      </w:r>
    </w:p>
    <w:p w:rsidR="00B07838" w:rsidRPr="00B07838" w:rsidRDefault="00B07838" w:rsidP="00B078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41321" w:rsidRPr="00F24C23" w:rsidRDefault="00F11E7F" w:rsidP="00B07838">
      <w:pPr>
        <w:spacing w:after="0" w:line="240" w:lineRule="auto"/>
        <w:ind w:left="360" w:right="360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4C23">
        <w:rPr>
          <w:rFonts w:ascii="Times New Roman" w:eastAsia="Times New Roman" w:hAnsi="Times New Roman" w:cs="Times New Roman"/>
          <w:sz w:val="26"/>
          <w:szCs w:val="26"/>
        </w:rPr>
        <w:t>Whoever forcibly assaults, resists, opposes, impedes, intimidates or interferes with any [Federal officer or employee] designated in Section 1114 of this title while engaged in or on account of the performance of his official duties . . . and where such acts involve physical contact with the victim of that assault or the intent to commit another felony [shall be guilty of an offense against the United States].</w:t>
      </w:r>
    </w:p>
    <w:p w:rsidR="00B07838" w:rsidRDefault="00B07838" w:rsidP="00B0783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F11E7F" w:rsidRPr="00B07838" w:rsidRDefault="00F11E7F" w:rsidP="00B0783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B07838">
        <w:rPr>
          <w:rFonts w:ascii="Times New Roman" w:eastAsia="Arial" w:hAnsi="Times New Roman"/>
          <w:sz w:val="26"/>
          <w:szCs w:val="26"/>
        </w:rPr>
        <w:t>Maximum Penalty: Eight (8) years imprisonment and applicable fine.</w:t>
      </w:r>
    </w:p>
    <w:p w:rsidR="00B41321" w:rsidRPr="00B41321" w:rsidRDefault="00B41321" w:rsidP="00B078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11E7F" w:rsidRPr="00F24C23" w:rsidRDefault="00F11E7F" w:rsidP="00B078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24C23">
        <w:rPr>
          <w:rFonts w:ascii="Times New Roman" w:eastAsia="Arial" w:hAnsi="Times New Roman"/>
          <w:sz w:val="26"/>
          <w:szCs w:val="26"/>
        </w:rPr>
        <w:t>Before 18 U.S.C. § 111 was amended in 2008, it provided for three categories of forcible assault: (1) simple or misdemeanor assault, “where the acts in violation of</w:t>
      </w:r>
      <w:r w:rsidRPr="00F24C23">
        <w:rPr>
          <w:rFonts w:ascii="Times New Roman" w:eastAsia="Times New Roman" w:hAnsi="Times New Roman" w:cs="Times New Roman"/>
          <w:sz w:val="26"/>
          <w:szCs w:val="26"/>
        </w:rPr>
        <w:t xml:space="preserve"> [subsection (a)] constitute only simple assault;” (2) “all other cases,” where the acts specified in subsection (a) constitute felony assault; and (3) where the acts specified in subsection (a) involved use of a deadly or dangerous weapon, or inflicted bodily injury.   </w:t>
      </w:r>
      <w:r w:rsidRPr="00F24C23">
        <w:rPr>
          <w:rFonts w:ascii="Times New Roman" w:eastAsia="Times New Roman" w:hAnsi="Times New Roman" w:cs="Times New Roman"/>
          <w:i/>
          <w:sz w:val="26"/>
          <w:szCs w:val="26"/>
        </w:rPr>
        <w:t xml:space="preserve">See </w:t>
      </w:r>
      <w:r w:rsidRPr="00227EB4">
        <w:rPr>
          <w:rFonts w:ascii="Times New Roman" w:eastAsia="Times New Roman" w:hAnsi="Times New Roman" w:cs="Times New Roman"/>
          <w:i/>
          <w:sz w:val="26"/>
          <w:szCs w:val="26"/>
        </w:rPr>
        <w:t>United States v. Siler</w:t>
      </w:r>
      <w:r w:rsidRPr="00227EB4">
        <w:rPr>
          <w:rFonts w:ascii="Times New Roman" w:eastAsia="Times New Roman" w:hAnsi="Times New Roman" w:cs="Times New Roman"/>
          <w:sz w:val="26"/>
          <w:szCs w:val="26"/>
        </w:rPr>
        <w:t>, 734 F.3d 1290 (11th Cir. 2013) (citing</w:t>
      </w:r>
      <w:r w:rsidRPr="0017580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24C23">
        <w:rPr>
          <w:rFonts w:ascii="Times New Roman" w:eastAsia="Times New Roman" w:hAnsi="Times New Roman" w:cs="Times New Roman"/>
          <w:i/>
          <w:sz w:val="26"/>
          <w:szCs w:val="26"/>
        </w:rPr>
        <w:t>United States v. Martinez</w:t>
      </w:r>
      <w:r w:rsidRPr="00F24C23">
        <w:rPr>
          <w:rFonts w:ascii="Times New Roman" w:eastAsia="Times New Roman" w:hAnsi="Times New Roman" w:cs="Times New Roman"/>
          <w:sz w:val="26"/>
          <w:szCs w:val="26"/>
        </w:rPr>
        <w:t>, 486 F.3d</w:t>
      </w:r>
      <w:r w:rsidR="00B07838" w:rsidRPr="00F24C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24C23">
        <w:rPr>
          <w:rFonts w:ascii="Times New Roman" w:eastAsia="Times New Roman" w:hAnsi="Times New Roman" w:cs="Times New Roman"/>
          <w:sz w:val="26"/>
          <w:szCs w:val="26"/>
        </w:rPr>
        <w:t>1239 (11th Cir. 2007)).  The statute was amended in 2008 to narrow the second category of forcible assault to require “physical contact with the victim or the intent to commit</w:t>
      </w:r>
      <w:r w:rsidR="00B07838" w:rsidRPr="00F24C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24C23">
        <w:rPr>
          <w:rFonts w:ascii="Times New Roman" w:eastAsia="Times New Roman" w:hAnsi="Times New Roman" w:cs="Times New Roman"/>
          <w:sz w:val="26"/>
          <w:szCs w:val="26"/>
        </w:rPr>
        <w:t xml:space="preserve">another felony.”  </w:t>
      </w:r>
      <w:proofErr w:type="gramStart"/>
      <w:r w:rsidRPr="00F24C23">
        <w:rPr>
          <w:rFonts w:ascii="Times New Roman" w:eastAsia="Times New Roman" w:hAnsi="Times New Roman" w:cs="Times New Roman"/>
          <w:sz w:val="26"/>
          <w:szCs w:val="26"/>
        </w:rPr>
        <w:t>18 U.S.C. § 111(a).</w:t>
      </w:r>
      <w:proofErr w:type="gramEnd"/>
      <w:r w:rsidRPr="00F24C23">
        <w:rPr>
          <w:rFonts w:ascii="Times New Roman" w:eastAsia="Times New Roman" w:hAnsi="Times New Roman" w:cs="Times New Roman"/>
          <w:sz w:val="26"/>
          <w:szCs w:val="26"/>
        </w:rPr>
        <w:t xml:space="preserve">   If the evidence does not support that there was</w:t>
      </w:r>
      <w:r w:rsidR="00B07838" w:rsidRPr="00F24C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24C23">
        <w:rPr>
          <w:rFonts w:ascii="Times New Roman" w:eastAsia="Times New Roman" w:hAnsi="Times New Roman" w:cs="Times New Roman"/>
          <w:sz w:val="26"/>
          <w:szCs w:val="26"/>
        </w:rPr>
        <w:t>physical contact or the intent to commit another crime, it may be necessary to instruct on</w:t>
      </w:r>
      <w:r w:rsidR="00B07838" w:rsidRPr="00F24C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24C23">
        <w:rPr>
          <w:rFonts w:ascii="Times New Roman" w:eastAsia="Times New Roman" w:hAnsi="Times New Roman" w:cs="Times New Roman"/>
          <w:sz w:val="26"/>
          <w:szCs w:val="26"/>
        </w:rPr>
        <w:t xml:space="preserve">the lesser included offense of simple assault. </w:t>
      </w:r>
      <w:r w:rsidRPr="00F24C23">
        <w:rPr>
          <w:rFonts w:ascii="Times New Roman" w:eastAsia="Times New Roman" w:hAnsi="Times New Roman" w:cs="Times New Roman"/>
          <w:i/>
          <w:sz w:val="26"/>
          <w:szCs w:val="26"/>
        </w:rPr>
        <w:t xml:space="preserve">See </w:t>
      </w:r>
      <w:r w:rsidRPr="00F24C23">
        <w:rPr>
          <w:rFonts w:ascii="Times New Roman" w:eastAsia="Times New Roman" w:hAnsi="Times New Roman" w:cs="Times New Roman"/>
          <w:sz w:val="26"/>
          <w:szCs w:val="26"/>
        </w:rPr>
        <w:t>Special Instruction 10.</w:t>
      </w:r>
    </w:p>
    <w:p w:rsidR="00FE67B1" w:rsidRDefault="00FE67B1" w:rsidP="00B0783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6"/>
          <w:szCs w:val="26"/>
        </w:rPr>
      </w:pPr>
    </w:p>
    <w:p w:rsidR="00175804" w:rsidRDefault="00175804" w:rsidP="00B0783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6"/>
          <w:szCs w:val="26"/>
        </w:rPr>
      </w:pPr>
      <w:r w:rsidRPr="0017580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Although knowledge of the official capacity of the victim is unnecessary for conviction, a Defendant may not be found guilty if the Defendant acts from the mistaken belief that he or she is threatened with an intentional tort by a private citizen. </w:t>
      </w:r>
      <w:r w:rsidRPr="00175804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>United States v. Young</w:t>
      </w:r>
      <w:r w:rsidRPr="0017580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, 464 F.2d 160 (5th Cir. 1972); </w:t>
      </w:r>
      <w:r w:rsidRPr="00175804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United States v. </w:t>
      </w:r>
      <w:proofErr w:type="spellStart"/>
      <w:r w:rsidRPr="00175804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>Danehy</w:t>
      </w:r>
      <w:proofErr w:type="spellEnd"/>
      <w:r w:rsidRPr="00175804">
        <w:rPr>
          <w:rFonts w:ascii="Times New Roman" w:eastAsia="Times New Roman" w:hAnsi="Times New Roman" w:cs="Times New Roman"/>
          <w:spacing w:val="-3"/>
          <w:sz w:val="26"/>
          <w:szCs w:val="26"/>
        </w:rPr>
        <w:t>, 680 F.2d 1311 (11th Cir. 1982</w:t>
      </w:r>
      <w:r w:rsidR="005728B2">
        <w:rPr>
          <w:rFonts w:ascii="Times New Roman" w:eastAsia="Times New Roman" w:hAnsi="Times New Roman" w:cs="Times New Roman"/>
          <w:spacing w:val="-3"/>
          <w:sz w:val="26"/>
          <w:szCs w:val="26"/>
        </w:rPr>
        <w:t>)</w:t>
      </w:r>
      <w:bookmarkStart w:id="0" w:name="_GoBack"/>
      <w:bookmarkEnd w:id="0"/>
      <w:r w:rsidRPr="0017580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.  In connection with a claim of self-defense, see </w:t>
      </w:r>
      <w:r w:rsidRPr="00175804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>United States v. Alvarez</w:t>
      </w:r>
      <w:r w:rsidRPr="00175804">
        <w:rPr>
          <w:rFonts w:ascii="Times New Roman" w:eastAsia="Times New Roman" w:hAnsi="Times New Roman" w:cs="Times New Roman"/>
          <w:spacing w:val="-3"/>
          <w:sz w:val="26"/>
          <w:szCs w:val="26"/>
        </w:rPr>
        <w:t>, 755 F.2d 830 (11th Cir. 1985), concerning an instruction about the relevance of the Defendant’s state of mind and the alternative methods the Government has to negate such a claim.</w:t>
      </w:r>
    </w:p>
    <w:sectPr w:rsidR="001758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E7F"/>
    <w:rsid w:val="00175804"/>
    <w:rsid w:val="001F22C7"/>
    <w:rsid w:val="00227EB4"/>
    <w:rsid w:val="005728B2"/>
    <w:rsid w:val="005E0DF8"/>
    <w:rsid w:val="00B07838"/>
    <w:rsid w:val="00B41321"/>
    <w:rsid w:val="00CF2BE3"/>
    <w:rsid w:val="00F11E7F"/>
    <w:rsid w:val="00F24C23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7B1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7B1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11129-DE2C-4010-8FC2-ECE5F27E5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Baker</dc:creator>
  <cp:lastModifiedBy>newuser</cp:lastModifiedBy>
  <cp:revision>8</cp:revision>
  <dcterms:created xsi:type="dcterms:W3CDTF">2015-03-27T15:27:00Z</dcterms:created>
  <dcterms:modified xsi:type="dcterms:W3CDTF">2015-07-31T01:41:00Z</dcterms:modified>
</cp:coreProperties>
</file>