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E87C2" w14:textId="47629DF1" w:rsidR="00761887" w:rsidRPr="007A1C72" w:rsidRDefault="00761887" w:rsidP="007A1C72">
      <w:pPr>
        <w:pStyle w:val="BodyText"/>
        <w:kinsoku w:val="0"/>
        <w:overflowPunct w:val="0"/>
        <w:spacing w:after="200" w:line="240" w:lineRule="auto"/>
        <w:ind w:left="43"/>
        <w:jc w:val="both"/>
        <w:rPr>
          <w:b/>
          <w:bCs/>
          <w:sz w:val="26"/>
          <w:szCs w:val="26"/>
        </w:rPr>
      </w:pPr>
      <w:r w:rsidRPr="00835FBE">
        <w:rPr>
          <w:b/>
          <w:bCs/>
          <w:sz w:val="26"/>
          <w:szCs w:val="26"/>
          <w:u w:val="thick"/>
        </w:rPr>
        <w:t>ANNOTATIONS AND COMMENTS</w:t>
      </w:r>
    </w:p>
    <w:p w14:paraId="54AACCC1" w14:textId="77777777" w:rsidR="00761887" w:rsidRPr="00835FBE" w:rsidRDefault="00761887" w:rsidP="007A1C72">
      <w:pPr>
        <w:pStyle w:val="BodyText"/>
        <w:kinsoku w:val="0"/>
        <w:overflowPunct w:val="0"/>
        <w:spacing w:after="200" w:line="240" w:lineRule="auto"/>
        <w:ind w:left="0"/>
        <w:jc w:val="both"/>
        <w:rPr>
          <w:sz w:val="26"/>
          <w:szCs w:val="26"/>
        </w:rPr>
      </w:pPr>
      <w:r w:rsidRPr="00835FBE">
        <w:rPr>
          <w:sz w:val="26"/>
          <w:szCs w:val="26"/>
        </w:rPr>
        <w:t>21 U.S.C. § 846 provides:</w:t>
      </w:r>
    </w:p>
    <w:p w14:paraId="76DB9692" w14:textId="77777777" w:rsidR="00761887" w:rsidRPr="00835FBE" w:rsidRDefault="00761887" w:rsidP="007A1C72">
      <w:pPr>
        <w:pStyle w:val="BodyText"/>
        <w:kinsoku w:val="0"/>
        <w:overflowPunct w:val="0"/>
        <w:spacing w:after="200" w:line="240" w:lineRule="auto"/>
        <w:ind w:left="720" w:right="907"/>
        <w:jc w:val="both"/>
        <w:rPr>
          <w:sz w:val="26"/>
          <w:szCs w:val="26"/>
        </w:rPr>
      </w:pPr>
      <w:r w:rsidRPr="00835FBE">
        <w:rPr>
          <w:sz w:val="26"/>
          <w:szCs w:val="26"/>
        </w:rPr>
        <w:t>Any person who attempts or conspires to commit any offense defined in this subchapter [Sections 801 through 904] [shall be guilty of an offense against the United States].</w:t>
      </w:r>
    </w:p>
    <w:p w14:paraId="7F2BF53C" w14:textId="77777777" w:rsidR="00761887" w:rsidRPr="00835FBE" w:rsidRDefault="00761887" w:rsidP="007A1C72">
      <w:pPr>
        <w:pStyle w:val="BodyText"/>
        <w:kinsoku w:val="0"/>
        <w:overflowPunct w:val="0"/>
        <w:spacing w:after="200" w:line="240" w:lineRule="auto"/>
        <w:ind w:left="0"/>
        <w:jc w:val="both"/>
        <w:rPr>
          <w:sz w:val="26"/>
          <w:szCs w:val="26"/>
        </w:rPr>
      </w:pPr>
      <w:r w:rsidRPr="00835FBE">
        <w:rPr>
          <w:sz w:val="26"/>
          <w:szCs w:val="26"/>
        </w:rPr>
        <w:t>21 U.S.C. § 963 provides:</w:t>
      </w:r>
    </w:p>
    <w:p w14:paraId="4C81A793" w14:textId="77777777" w:rsidR="00761887" w:rsidRPr="00835FBE" w:rsidRDefault="00761887" w:rsidP="007A1C72">
      <w:pPr>
        <w:pStyle w:val="BodyText"/>
        <w:kinsoku w:val="0"/>
        <w:overflowPunct w:val="0"/>
        <w:spacing w:after="200" w:line="240" w:lineRule="auto"/>
        <w:ind w:left="720" w:right="907"/>
        <w:jc w:val="both"/>
        <w:rPr>
          <w:sz w:val="26"/>
          <w:szCs w:val="26"/>
        </w:rPr>
      </w:pPr>
      <w:r w:rsidRPr="00835FBE">
        <w:rPr>
          <w:sz w:val="26"/>
          <w:szCs w:val="26"/>
        </w:rPr>
        <w:t>Any person who attempts or conspires to commit any offense defined in this subchapter [Sections 951 through 966] [shall be guilty of an offense against the United States].</w:t>
      </w:r>
    </w:p>
    <w:p w14:paraId="06D49CFC" w14:textId="77777777" w:rsidR="00761887" w:rsidRPr="00835FBE" w:rsidRDefault="00761887" w:rsidP="007A1C72">
      <w:pPr>
        <w:pStyle w:val="BodyText"/>
        <w:kinsoku w:val="0"/>
        <w:overflowPunct w:val="0"/>
        <w:spacing w:after="200" w:line="240" w:lineRule="auto"/>
        <w:ind w:left="0" w:right="115" w:firstLine="720"/>
        <w:jc w:val="both"/>
        <w:rPr>
          <w:sz w:val="26"/>
          <w:szCs w:val="26"/>
        </w:rPr>
      </w:pPr>
      <w:r w:rsidRPr="00835FBE">
        <w:rPr>
          <w:sz w:val="26"/>
          <w:szCs w:val="26"/>
        </w:rPr>
        <w:t>This instruction was previously designated to be given for 21 U.S.C. § 955(c), as well. This statute has been transferred to 46 U.S.C. § 70506(b), which provides:</w:t>
      </w:r>
    </w:p>
    <w:p w14:paraId="31F0D14F" w14:textId="77777777" w:rsidR="00761887" w:rsidRPr="00835FBE" w:rsidRDefault="00761887" w:rsidP="007A1C72">
      <w:pPr>
        <w:pStyle w:val="BodyText"/>
        <w:kinsoku w:val="0"/>
        <w:overflowPunct w:val="0"/>
        <w:spacing w:after="200" w:line="240" w:lineRule="auto"/>
        <w:ind w:left="720" w:right="907"/>
        <w:jc w:val="both"/>
        <w:rPr>
          <w:sz w:val="26"/>
          <w:szCs w:val="26"/>
        </w:rPr>
      </w:pPr>
      <w:r w:rsidRPr="00835FBE">
        <w:rPr>
          <w:sz w:val="26"/>
          <w:szCs w:val="26"/>
        </w:rPr>
        <w:t>A person attempting or conspiring to violate section 70503 of this title is subject to the same penalties as provided for violating section 70503.</w:t>
      </w:r>
    </w:p>
    <w:p w14:paraId="0CC5A6DE" w14:textId="77777777" w:rsidR="00761887" w:rsidRPr="00835FBE" w:rsidRDefault="00761887" w:rsidP="007A1C72">
      <w:pPr>
        <w:pStyle w:val="BodyText"/>
        <w:kinsoku w:val="0"/>
        <w:overflowPunct w:val="0"/>
        <w:spacing w:after="200" w:line="240" w:lineRule="auto"/>
        <w:ind w:left="0" w:firstLine="720"/>
        <w:jc w:val="both"/>
        <w:rPr>
          <w:sz w:val="26"/>
          <w:szCs w:val="26"/>
        </w:rPr>
      </w:pPr>
      <w:r w:rsidRPr="00835FBE">
        <w:rPr>
          <w:sz w:val="26"/>
          <w:szCs w:val="26"/>
        </w:rPr>
        <w:t>46 U.S.C. § 70503 criminalizes the knowing or intentional manufacture or distributing of controlled substances on board a vessel subject to the jurisdiction of the United States or on board any vessel by an individual who is a citizen or resident alien of the U.S. This instruction can still be properly used (as adapted) for this statute.</w:t>
      </w:r>
    </w:p>
    <w:p w14:paraId="1C7FB236" w14:textId="77777777" w:rsidR="00761887" w:rsidRPr="00835FBE" w:rsidRDefault="00761887" w:rsidP="00761887">
      <w:pPr>
        <w:pStyle w:val="BodyText"/>
        <w:kinsoku w:val="0"/>
        <w:overflowPunct w:val="0"/>
        <w:spacing w:after="200" w:line="240" w:lineRule="auto"/>
        <w:ind w:left="0" w:firstLine="720"/>
        <w:jc w:val="both"/>
        <w:rPr>
          <w:sz w:val="26"/>
          <w:szCs w:val="26"/>
        </w:rPr>
      </w:pPr>
      <w:r w:rsidRPr="00835FBE">
        <w:rPr>
          <w:sz w:val="26"/>
          <w:szCs w:val="26"/>
        </w:rPr>
        <w:t xml:space="preserve">Unlike 18 U.S.C. § 371 (general conspiracy statute), no overt act need be alleged or proved under either § 846 or § 963, </w:t>
      </w:r>
      <w:r w:rsidRPr="00835FBE">
        <w:rPr>
          <w:i/>
          <w:iCs/>
          <w:sz w:val="26"/>
          <w:szCs w:val="26"/>
        </w:rPr>
        <w:t>United States v. Shabani</w:t>
      </w:r>
      <w:r w:rsidRPr="00835FBE">
        <w:rPr>
          <w:sz w:val="26"/>
          <w:szCs w:val="26"/>
        </w:rPr>
        <w:t xml:space="preserve">, 513 U.S. 10, 15–16 (1994); </w:t>
      </w:r>
      <w:r w:rsidRPr="00835FBE">
        <w:rPr>
          <w:i/>
          <w:iCs/>
          <w:sz w:val="26"/>
          <w:szCs w:val="26"/>
        </w:rPr>
        <w:t>United States v. Harriston</w:t>
      </w:r>
      <w:r w:rsidRPr="00835FBE">
        <w:rPr>
          <w:sz w:val="26"/>
          <w:szCs w:val="26"/>
        </w:rPr>
        <w:t>, 329 F.3d 779, 783 (11</w:t>
      </w:r>
      <w:r w:rsidRPr="00835FBE">
        <w:rPr>
          <w:rFonts w:eastAsia="Arial"/>
          <w:sz w:val="26"/>
          <w:szCs w:val="26"/>
        </w:rPr>
        <w:t>th</w:t>
      </w:r>
      <w:r w:rsidRPr="00835FBE">
        <w:rPr>
          <w:position w:val="9"/>
          <w:sz w:val="26"/>
          <w:szCs w:val="26"/>
        </w:rPr>
        <w:t xml:space="preserve"> </w:t>
      </w:r>
      <w:r w:rsidRPr="00835FBE">
        <w:rPr>
          <w:sz w:val="26"/>
          <w:szCs w:val="26"/>
        </w:rPr>
        <w:t xml:space="preserve">Cir. 2003); </w:t>
      </w:r>
      <w:r w:rsidRPr="00835FBE">
        <w:rPr>
          <w:i/>
          <w:iCs/>
          <w:sz w:val="26"/>
          <w:szCs w:val="26"/>
        </w:rPr>
        <w:t>United States v. Jones</w:t>
      </w:r>
      <w:r w:rsidRPr="00835FBE">
        <w:rPr>
          <w:sz w:val="26"/>
          <w:szCs w:val="26"/>
        </w:rPr>
        <w:t>, 765 F.2d 996, 1001 (11</w:t>
      </w:r>
      <w:r w:rsidRPr="00835FBE">
        <w:rPr>
          <w:rFonts w:eastAsia="Arial"/>
          <w:sz w:val="26"/>
          <w:szCs w:val="26"/>
        </w:rPr>
        <w:t>th</w:t>
      </w:r>
      <w:r w:rsidRPr="00835FBE">
        <w:rPr>
          <w:position w:val="9"/>
          <w:sz w:val="26"/>
          <w:szCs w:val="26"/>
        </w:rPr>
        <w:t xml:space="preserve"> </w:t>
      </w:r>
      <w:r w:rsidRPr="00835FBE">
        <w:rPr>
          <w:sz w:val="26"/>
          <w:szCs w:val="26"/>
        </w:rPr>
        <w:t xml:space="preserve">Cir. 1985), nor does the absence of that requirement violate the constitution. </w:t>
      </w:r>
      <w:r w:rsidRPr="00835FBE">
        <w:rPr>
          <w:i/>
          <w:iCs/>
          <w:sz w:val="26"/>
          <w:szCs w:val="26"/>
        </w:rPr>
        <w:t>United States v. Gibbs</w:t>
      </w:r>
      <w:r w:rsidRPr="00835FBE">
        <w:rPr>
          <w:sz w:val="26"/>
          <w:szCs w:val="26"/>
        </w:rPr>
        <w:t xml:space="preserve">, 190 F.3d 188, 197 n.2 (3d Cir. 1999) (citing </w:t>
      </w:r>
      <w:r w:rsidRPr="00835FBE">
        <w:rPr>
          <w:i/>
          <w:iCs/>
          <w:sz w:val="26"/>
          <w:szCs w:val="26"/>
        </w:rPr>
        <w:t>Shabani</w:t>
      </w:r>
      <w:r w:rsidRPr="00835FBE">
        <w:rPr>
          <w:sz w:val="26"/>
          <w:szCs w:val="26"/>
        </w:rPr>
        <w:t xml:space="preserve">, 513 U.S. at 15–16); </w:t>
      </w:r>
      <w:r w:rsidRPr="00835FBE">
        <w:rPr>
          <w:i/>
          <w:iCs/>
          <w:sz w:val="26"/>
          <w:szCs w:val="26"/>
        </w:rPr>
        <w:t>United States v. Pulido</w:t>
      </w:r>
      <w:r w:rsidRPr="00835FBE">
        <w:rPr>
          <w:sz w:val="26"/>
          <w:szCs w:val="26"/>
        </w:rPr>
        <w:t>, 69 F.3d 192, 209 (7</w:t>
      </w:r>
      <w:r w:rsidRPr="00835FBE">
        <w:rPr>
          <w:rFonts w:eastAsia="Arial"/>
          <w:sz w:val="26"/>
          <w:szCs w:val="26"/>
        </w:rPr>
        <w:t>th</w:t>
      </w:r>
      <w:r w:rsidRPr="00835FBE">
        <w:rPr>
          <w:position w:val="9"/>
          <w:sz w:val="26"/>
          <w:szCs w:val="26"/>
        </w:rPr>
        <w:t xml:space="preserve"> </w:t>
      </w:r>
      <w:r w:rsidRPr="00835FBE">
        <w:rPr>
          <w:sz w:val="26"/>
          <w:szCs w:val="26"/>
        </w:rPr>
        <w:t>Cir. 1995).</w:t>
      </w:r>
    </w:p>
    <w:p w14:paraId="7D47618F" w14:textId="77777777" w:rsidR="00761887" w:rsidRPr="00835FBE" w:rsidRDefault="00761887" w:rsidP="00761887">
      <w:pPr>
        <w:pStyle w:val="BodyText"/>
        <w:kinsoku w:val="0"/>
        <w:overflowPunct w:val="0"/>
        <w:spacing w:after="200" w:line="240" w:lineRule="auto"/>
        <w:ind w:left="0" w:firstLine="720"/>
        <w:jc w:val="both"/>
        <w:rPr>
          <w:sz w:val="26"/>
          <w:szCs w:val="26"/>
        </w:rPr>
      </w:pPr>
      <w:r w:rsidRPr="00835FBE">
        <w:rPr>
          <w:sz w:val="26"/>
          <w:szCs w:val="26"/>
        </w:rPr>
        <w:t xml:space="preserve">Acts of concealment are not part of the original conspiracy. </w:t>
      </w:r>
      <w:r w:rsidRPr="00835FBE">
        <w:rPr>
          <w:i/>
          <w:iCs/>
          <w:sz w:val="26"/>
          <w:szCs w:val="26"/>
        </w:rPr>
        <w:t>United States v. Knowles</w:t>
      </w:r>
      <w:r w:rsidRPr="00835FBE">
        <w:rPr>
          <w:sz w:val="26"/>
          <w:szCs w:val="26"/>
        </w:rPr>
        <w:t>, 66 F.3d 1146, 1155–56 n.17 (11</w:t>
      </w:r>
      <w:r w:rsidRPr="00835FBE">
        <w:rPr>
          <w:rFonts w:eastAsia="Arial"/>
          <w:sz w:val="26"/>
          <w:szCs w:val="26"/>
        </w:rPr>
        <w:t>th</w:t>
      </w:r>
      <w:r w:rsidRPr="00835FBE">
        <w:rPr>
          <w:position w:val="9"/>
          <w:sz w:val="26"/>
          <w:szCs w:val="26"/>
        </w:rPr>
        <w:t xml:space="preserve"> </w:t>
      </w:r>
      <w:r w:rsidRPr="00835FBE">
        <w:rPr>
          <w:sz w:val="26"/>
          <w:szCs w:val="26"/>
        </w:rPr>
        <w:t>Cir. 1995).</w:t>
      </w:r>
    </w:p>
    <w:p w14:paraId="008E148F" w14:textId="77777777" w:rsidR="00761887" w:rsidRPr="00835FBE" w:rsidRDefault="00761887" w:rsidP="00761887">
      <w:pPr>
        <w:pStyle w:val="BodyText"/>
        <w:kinsoku w:val="0"/>
        <w:overflowPunct w:val="0"/>
        <w:spacing w:after="200" w:line="240" w:lineRule="auto"/>
        <w:ind w:left="0" w:firstLine="720"/>
        <w:jc w:val="both"/>
        <w:rPr>
          <w:sz w:val="26"/>
          <w:szCs w:val="26"/>
        </w:rPr>
      </w:pPr>
      <w:r w:rsidRPr="00835FBE">
        <w:rPr>
          <w:sz w:val="26"/>
          <w:szCs w:val="26"/>
        </w:rPr>
        <w:t xml:space="preserve">“[T]he mere presence of a defendant with the alleged conspirators is insufficient to support a conviction for conspiracy.” </w:t>
      </w:r>
      <w:r w:rsidRPr="00835FBE">
        <w:rPr>
          <w:i/>
          <w:iCs/>
          <w:sz w:val="26"/>
          <w:szCs w:val="26"/>
        </w:rPr>
        <w:t>United States v. Hernandez</w:t>
      </w:r>
      <w:r w:rsidRPr="00835FBE">
        <w:rPr>
          <w:sz w:val="26"/>
          <w:szCs w:val="26"/>
        </w:rPr>
        <w:t>, 141 F.3d 1042, 1053 (11</w:t>
      </w:r>
      <w:r w:rsidRPr="00835FBE">
        <w:rPr>
          <w:rFonts w:eastAsia="Arial"/>
          <w:sz w:val="26"/>
          <w:szCs w:val="26"/>
        </w:rPr>
        <w:t>th</w:t>
      </w:r>
      <w:r w:rsidRPr="00835FBE">
        <w:rPr>
          <w:position w:val="9"/>
          <w:sz w:val="26"/>
          <w:szCs w:val="26"/>
        </w:rPr>
        <w:t xml:space="preserve"> </w:t>
      </w:r>
      <w:r w:rsidRPr="00835FBE">
        <w:rPr>
          <w:sz w:val="26"/>
          <w:szCs w:val="26"/>
        </w:rPr>
        <w:t>Cir. 1998). However, “</w:t>
      </w:r>
      <w:r>
        <w:rPr>
          <w:sz w:val="26"/>
          <w:szCs w:val="26"/>
        </w:rPr>
        <w:t>[</w:t>
      </w:r>
      <w:r w:rsidRPr="00835FBE">
        <w:rPr>
          <w:sz w:val="26"/>
          <w:szCs w:val="26"/>
        </w:rPr>
        <w:t>a</w:t>
      </w:r>
      <w:r>
        <w:rPr>
          <w:sz w:val="26"/>
          <w:szCs w:val="26"/>
        </w:rPr>
        <w:t>]</w:t>
      </w:r>
      <w:r w:rsidRPr="00835FBE">
        <w:rPr>
          <w:sz w:val="26"/>
          <w:szCs w:val="26"/>
        </w:rPr>
        <w:t xml:space="preserve"> conspiracy conviction will be upheld</w:t>
      </w:r>
      <w:r>
        <w:rPr>
          <w:sz w:val="26"/>
          <w:szCs w:val="26"/>
        </w:rPr>
        <w:t xml:space="preserve"> </w:t>
      </w:r>
      <w:r w:rsidRPr="00835FBE">
        <w:rPr>
          <w:sz w:val="26"/>
          <w:szCs w:val="26"/>
        </w:rPr>
        <w:t xml:space="preserve">… when the circumstances surrounding a person’s presence at the scene of conspiratorial activity are so obvious that knowledge of its character can fairly be attributed to him.” </w:t>
      </w:r>
      <w:r w:rsidRPr="00835FBE">
        <w:rPr>
          <w:i/>
          <w:iCs/>
          <w:sz w:val="26"/>
          <w:szCs w:val="26"/>
        </w:rPr>
        <w:t>United States v. Calderon</w:t>
      </w:r>
      <w:r w:rsidRPr="00835FBE">
        <w:rPr>
          <w:sz w:val="26"/>
          <w:szCs w:val="26"/>
        </w:rPr>
        <w:t>, 127 F.3d 1314, 1326 (11</w:t>
      </w:r>
      <w:r w:rsidRPr="00835FBE">
        <w:rPr>
          <w:rFonts w:eastAsia="Arial"/>
          <w:sz w:val="26"/>
          <w:szCs w:val="26"/>
        </w:rPr>
        <w:t>th</w:t>
      </w:r>
      <w:r w:rsidRPr="00835FBE">
        <w:rPr>
          <w:position w:val="9"/>
          <w:sz w:val="26"/>
          <w:szCs w:val="26"/>
        </w:rPr>
        <w:t xml:space="preserve"> </w:t>
      </w:r>
      <w:r w:rsidRPr="00835FBE">
        <w:rPr>
          <w:sz w:val="26"/>
          <w:szCs w:val="26"/>
        </w:rPr>
        <w:t xml:space="preserve">Cir. 1997) </w:t>
      </w:r>
      <w:r>
        <w:rPr>
          <w:sz w:val="26"/>
          <w:szCs w:val="26"/>
        </w:rPr>
        <w:t xml:space="preserve">(alteration in original) </w:t>
      </w:r>
      <w:r w:rsidRPr="00835FBE">
        <w:rPr>
          <w:sz w:val="26"/>
          <w:szCs w:val="26"/>
        </w:rPr>
        <w:t>(</w:t>
      </w:r>
      <w:r>
        <w:rPr>
          <w:sz w:val="26"/>
          <w:szCs w:val="26"/>
        </w:rPr>
        <w:t xml:space="preserve">quoting </w:t>
      </w:r>
      <w:r w:rsidRPr="008B5F62">
        <w:rPr>
          <w:i/>
          <w:iCs/>
          <w:sz w:val="26"/>
          <w:szCs w:val="26"/>
        </w:rPr>
        <w:t>United States v. Parrado</w:t>
      </w:r>
      <w:r w:rsidRPr="008B5F62">
        <w:rPr>
          <w:sz w:val="26"/>
          <w:szCs w:val="26"/>
        </w:rPr>
        <w:t>, 911 F.2d 1567, 157</w:t>
      </w:r>
      <w:r>
        <w:rPr>
          <w:sz w:val="26"/>
          <w:szCs w:val="26"/>
        </w:rPr>
        <w:t>0</w:t>
      </w:r>
      <w:r w:rsidRPr="008B5F62">
        <w:rPr>
          <w:sz w:val="26"/>
          <w:szCs w:val="26"/>
        </w:rPr>
        <w:t xml:space="preserve"> (11th Cir.1990), </w:t>
      </w:r>
      <w:r w:rsidRPr="008B5F62">
        <w:rPr>
          <w:i/>
          <w:iCs/>
          <w:sz w:val="26"/>
          <w:szCs w:val="26"/>
        </w:rPr>
        <w:t>cert. denied</w:t>
      </w:r>
      <w:r w:rsidRPr="008B5F62">
        <w:rPr>
          <w:sz w:val="26"/>
          <w:szCs w:val="26"/>
        </w:rPr>
        <w:t>, 498 U.S. 1104</w:t>
      </w:r>
      <w:r>
        <w:rPr>
          <w:sz w:val="26"/>
          <w:szCs w:val="26"/>
        </w:rPr>
        <w:t xml:space="preserve"> </w:t>
      </w:r>
      <w:r w:rsidRPr="008B5F62">
        <w:rPr>
          <w:sz w:val="26"/>
          <w:szCs w:val="26"/>
        </w:rPr>
        <w:t>(1991)).</w:t>
      </w:r>
      <w:r w:rsidRPr="00835FBE">
        <w:rPr>
          <w:sz w:val="26"/>
          <w:szCs w:val="26"/>
        </w:rPr>
        <w:t xml:space="preserve"> For comparative citations analyzing the “mere presence” and “mere association” concepts, </w:t>
      </w:r>
      <w:r w:rsidRPr="00835FBE">
        <w:rPr>
          <w:i/>
          <w:iCs/>
          <w:sz w:val="26"/>
          <w:szCs w:val="26"/>
        </w:rPr>
        <w:t>see United States v. Lopez-Ramirez</w:t>
      </w:r>
      <w:r w:rsidRPr="00835FBE">
        <w:rPr>
          <w:sz w:val="26"/>
          <w:szCs w:val="26"/>
        </w:rPr>
        <w:t>, 68 F.3d 438, 440–41 (11</w:t>
      </w:r>
      <w:r w:rsidRPr="00835FBE">
        <w:rPr>
          <w:rFonts w:eastAsia="Arial"/>
          <w:sz w:val="26"/>
          <w:szCs w:val="26"/>
        </w:rPr>
        <w:t>th</w:t>
      </w:r>
      <w:r w:rsidRPr="00835FBE">
        <w:rPr>
          <w:position w:val="9"/>
          <w:sz w:val="26"/>
          <w:szCs w:val="26"/>
        </w:rPr>
        <w:t xml:space="preserve"> </w:t>
      </w:r>
      <w:r w:rsidRPr="00835FBE">
        <w:rPr>
          <w:sz w:val="26"/>
          <w:szCs w:val="26"/>
        </w:rPr>
        <w:t>Cir. 1995).</w:t>
      </w:r>
    </w:p>
    <w:p w14:paraId="46CC4301" w14:textId="77777777" w:rsidR="00761887" w:rsidRPr="00665790" w:rsidRDefault="00761887" w:rsidP="00761887">
      <w:pPr>
        <w:pStyle w:val="BodyText"/>
        <w:kinsoku w:val="0"/>
        <w:overflowPunct w:val="0"/>
        <w:spacing w:after="200" w:line="240" w:lineRule="auto"/>
        <w:ind w:left="0" w:firstLine="720"/>
        <w:jc w:val="both"/>
        <w:rPr>
          <w:sz w:val="26"/>
          <w:szCs w:val="26"/>
        </w:rPr>
      </w:pPr>
      <w:r w:rsidRPr="00835FBE">
        <w:rPr>
          <w:sz w:val="26"/>
          <w:szCs w:val="26"/>
        </w:rPr>
        <w:lastRenderedPageBreak/>
        <w:t xml:space="preserve">“It is </w:t>
      </w:r>
      <w:proofErr w:type="spellStart"/>
      <w:r w:rsidRPr="00835FBE">
        <w:rPr>
          <w:sz w:val="26"/>
          <w:szCs w:val="26"/>
        </w:rPr>
        <w:t>th</w:t>
      </w:r>
      <w:proofErr w:type="spellEnd"/>
      <w:r w:rsidRPr="00835FBE">
        <w:rPr>
          <w:sz w:val="26"/>
          <w:szCs w:val="26"/>
        </w:rPr>
        <w:t xml:space="preserve">[e] requirement of an agreement to participate in a criminal scheme that distinguishes </w:t>
      </w:r>
      <w:r w:rsidRPr="00665790">
        <w:rPr>
          <w:sz w:val="26"/>
          <w:szCs w:val="26"/>
        </w:rPr>
        <w:t xml:space="preserve">conspiracy from the related offense, aiding and abetting.” </w:t>
      </w:r>
      <w:r w:rsidRPr="00665790">
        <w:rPr>
          <w:i/>
          <w:iCs/>
          <w:sz w:val="26"/>
          <w:szCs w:val="26"/>
        </w:rPr>
        <w:t>United States v. Toler</w:t>
      </w:r>
      <w:r w:rsidRPr="00665790">
        <w:rPr>
          <w:sz w:val="26"/>
          <w:szCs w:val="26"/>
        </w:rPr>
        <w:t>, 144 F.3d 1423, 1426 n.4 (11</w:t>
      </w:r>
      <w:r w:rsidRPr="00665790">
        <w:rPr>
          <w:rFonts w:eastAsia="Arial"/>
          <w:sz w:val="26"/>
          <w:szCs w:val="26"/>
        </w:rPr>
        <w:t>th</w:t>
      </w:r>
      <w:r w:rsidRPr="00665790">
        <w:rPr>
          <w:position w:val="9"/>
          <w:sz w:val="26"/>
          <w:szCs w:val="26"/>
        </w:rPr>
        <w:t xml:space="preserve"> </w:t>
      </w:r>
      <w:r w:rsidRPr="00665790">
        <w:rPr>
          <w:sz w:val="26"/>
          <w:szCs w:val="26"/>
        </w:rPr>
        <w:t xml:space="preserve">Cir. 1998). </w:t>
      </w:r>
    </w:p>
    <w:p w14:paraId="3ED02A1D" w14:textId="77777777" w:rsidR="00761887" w:rsidRPr="00835FBE" w:rsidRDefault="00761887" w:rsidP="00761887">
      <w:pPr>
        <w:pStyle w:val="BodyText"/>
        <w:kinsoku w:val="0"/>
        <w:overflowPunct w:val="0"/>
        <w:spacing w:after="200" w:line="240" w:lineRule="auto"/>
        <w:ind w:left="0" w:firstLine="720"/>
        <w:jc w:val="both"/>
        <w:rPr>
          <w:sz w:val="26"/>
          <w:szCs w:val="26"/>
        </w:rPr>
      </w:pPr>
      <w:r w:rsidRPr="00665790">
        <w:rPr>
          <w:sz w:val="26"/>
          <w:szCs w:val="26"/>
        </w:rPr>
        <w:t xml:space="preserve">“[T]he mere fact of the purchase by a consumer of an amount of an illegal substance does not make of the seller and buyer conspirators under the federal [controlled substances] statutes.” </w:t>
      </w:r>
      <w:r w:rsidRPr="00665790">
        <w:rPr>
          <w:i/>
          <w:iCs/>
          <w:sz w:val="26"/>
          <w:szCs w:val="26"/>
        </w:rPr>
        <w:t>United States v. Brown</w:t>
      </w:r>
      <w:r w:rsidRPr="00665790">
        <w:rPr>
          <w:sz w:val="26"/>
          <w:szCs w:val="26"/>
        </w:rPr>
        <w:t>, 872 F.2d 385, 391 (11</w:t>
      </w:r>
      <w:r w:rsidRPr="00665790">
        <w:rPr>
          <w:rFonts w:eastAsia="Arial"/>
          <w:sz w:val="26"/>
          <w:szCs w:val="26"/>
        </w:rPr>
        <w:t>th</w:t>
      </w:r>
      <w:r w:rsidRPr="00665790">
        <w:rPr>
          <w:sz w:val="26"/>
          <w:szCs w:val="26"/>
        </w:rPr>
        <w:t xml:space="preserve"> Cir. 1989). </w:t>
      </w:r>
    </w:p>
    <w:p w14:paraId="532B24B4" w14:textId="77777777" w:rsidR="00761887" w:rsidRDefault="00761887" w:rsidP="00761887">
      <w:pPr>
        <w:spacing w:line="240" w:lineRule="auto"/>
        <w:ind w:firstLine="720"/>
        <w:jc w:val="both"/>
        <w:rPr>
          <w:rFonts w:ascii="Times New Roman" w:hAnsi="Times New Roman" w:cs="Times New Roman"/>
          <w:sz w:val="26"/>
          <w:szCs w:val="26"/>
        </w:rPr>
      </w:pPr>
      <w:r w:rsidRPr="00835FBE">
        <w:rPr>
          <w:rFonts w:ascii="Times New Roman" w:hAnsi="Times New Roman" w:cs="Times New Roman"/>
          <w:sz w:val="26"/>
          <w:szCs w:val="26"/>
        </w:rPr>
        <w:t xml:space="preserve">Under </w:t>
      </w:r>
      <w:proofErr w:type="spellStart"/>
      <w:r w:rsidRPr="00835FBE">
        <w:rPr>
          <w:rFonts w:ascii="Times New Roman" w:hAnsi="Times New Roman" w:cs="Times New Roman"/>
          <w:i/>
          <w:iCs/>
          <w:sz w:val="26"/>
          <w:szCs w:val="26"/>
        </w:rPr>
        <w:t>Apprendi</w:t>
      </w:r>
      <w:proofErr w:type="spellEnd"/>
      <w:r w:rsidRPr="00835FBE">
        <w:rPr>
          <w:rFonts w:ascii="Times New Roman" w:hAnsi="Times New Roman" w:cs="Times New Roman"/>
          <w:i/>
          <w:iCs/>
          <w:sz w:val="26"/>
          <w:szCs w:val="26"/>
        </w:rPr>
        <w:t xml:space="preserve"> v. New Jersey</w:t>
      </w:r>
      <w:r w:rsidRPr="00835FBE">
        <w:rPr>
          <w:rFonts w:ascii="Times New Roman" w:hAnsi="Times New Roman" w:cs="Times New Roman"/>
          <w:sz w:val="26"/>
          <w:szCs w:val="26"/>
        </w:rPr>
        <w:t xml:space="preserve">, 530 U.S. 466 (2000), and </w:t>
      </w:r>
      <w:r w:rsidRPr="00835FBE">
        <w:rPr>
          <w:rFonts w:ascii="Times New Roman" w:hAnsi="Times New Roman" w:cs="Times New Roman"/>
          <w:i/>
          <w:iCs/>
          <w:sz w:val="26"/>
          <w:szCs w:val="26"/>
        </w:rPr>
        <w:t>Alleyne v. United States</w:t>
      </w:r>
      <w:r w:rsidRPr="00835FBE">
        <w:rPr>
          <w:rFonts w:ascii="Times New Roman" w:hAnsi="Times New Roman" w:cs="Times New Roman"/>
          <w:sz w:val="26"/>
          <w:szCs w:val="26"/>
        </w:rPr>
        <w:t>, 570 U.S. 99 (2013), when an indictment alleges drug quantity to subject a defendant to 21 U.S.C. § 841(b)’s enhanced penalties, a jury must find that the drug type and quantity have been proven beyond a reasonable doubt. In such cases, drug quantity becomes an “element” or “ingredient” of the offense for penalty purposes</w:t>
      </w:r>
      <w:r w:rsidRPr="00835FBE">
        <w:rPr>
          <w:rFonts w:ascii="Times New Roman" w:eastAsia="Arial" w:hAnsi="Times New Roman" w:cs="Times New Roman"/>
          <w:sz w:val="26"/>
          <w:szCs w:val="26"/>
        </w:rPr>
        <w:t xml:space="preserve">. </w:t>
      </w:r>
      <w:r w:rsidRPr="00835FBE">
        <w:rPr>
          <w:rFonts w:ascii="Times New Roman" w:hAnsi="Times New Roman" w:cs="Times New Roman"/>
          <w:i/>
          <w:iCs/>
          <w:sz w:val="26"/>
          <w:szCs w:val="26"/>
        </w:rPr>
        <w:t>United States v. Colston</w:t>
      </w:r>
      <w:r w:rsidRPr="00835FBE">
        <w:rPr>
          <w:rFonts w:ascii="Times New Roman" w:hAnsi="Times New Roman" w:cs="Times New Roman"/>
          <w:sz w:val="26"/>
          <w:szCs w:val="26"/>
        </w:rPr>
        <w:t xml:space="preserve">, 4 F.4th 1179, 1187–89 (11th Cir. 2021); </w:t>
      </w:r>
      <w:r w:rsidRPr="00835FBE">
        <w:rPr>
          <w:rFonts w:ascii="Times New Roman" w:hAnsi="Times New Roman" w:cs="Times New Roman"/>
          <w:i/>
          <w:iCs/>
          <w:sz w:val="26"/>
          <w:szCs w:val="26"/>
        </w:rPr>
        <w:t>see also</w:t>
      </w:r>
      <w:r w:rsidRPr="00835FBE">
        <w:rPr>
          <w:rFonts w:ascii="Times New Roman" w:hAnsi="Times New Roman" w:cs="Times New Roman"/>
          <w:sz w:val="26"/>
          <w:szCs w:val="26"/>
        </w:rPr>
        <w:t xml:space="preserve"> </w:t>
      </w:r>
      <w:r w:rsidRPr="00835FBE">
        <w:rPr>
          <w:rFonts w:ascii="Times New Roman" w:hAnsi="Times New Roman" w:cs="Times New Roman"/>
          <w:i/>
          <w:iCs/>
          <w:sz w:val="26"/>
          <w:szCs w:val="26"/>
        </w:rPr>
        <w:t>United States v. Gray</w:t>
      </w:r>
      <w:r w:rsidRPr="00835FBE">
        <w:rPr>
          <w:rFonts w:ascii="Times New Roman" w:hAnsi="Times New Roman" w:cs="Times New Roman"/>
          <w:sz w:val="26"/>
          <w:szCs w:val="26"/>
        </w:rPr>
        <w:t>, 94 F.4th 1267, 1271 (11th Cir. 2024) (“In short, [the defendant]’s indictment for violating 21 U.S.C. § 841(a)(1) and § 846 required the government to prove only that he knew he possessed a controlled substance, not that he knew he possessed a certain controlled substance. The fact that the indictment named a specific substance [to establish penalties] does not change this general</w:t>
      </w:r>
      <w:r w:rsidRPr="00835FBE">
        <w:rPr>
          <w:rFonts w:ascii="Times New Roman" w:hAnsi="Times New Roman" w:cs="Times New Roman"/>
          <w:sz w:val="26"/>
          <w:szCs w:val="26"/>
        </w:rPr>
        <w:noBreakHyphen/>
        <w:t>knowledge requirement.”).</w:t>
      </w:r>
    </w:p>
    <w:p w14:paraId="64D10E6A" w14:textId="404CE19D" w:rsidR="00761887" w:rsidRDefault="00761887" w:rsidP="00761887">
      <w:pPr>
        <w:spacing w:line="240" w:lineRule="auto"/>
        <w:jc w:val="both"/>
        <w:rPr>
          <w:rFonts w:ascii="Times New Roman" w:hAnsi="Times New Roman" w:cs="Times New Roman"/>
          <w:sz w:val="26"/>
          <w:szCs w:val="26"/>
        </w:rPr>
      </w:pPr>
      <w:r>
        <w:rPr>
          <w:rFonts w:ascii="Times New Roman" w:hAnsi="Times New Roman" w:cs="Times New Roman"/>
          <w:sz w:val="26"/>
          <w:szCs w:val="26"/>
        </w:rPr>
        <w:tab/>
      </w:r>
      <w:r w:rsidRPr="00835FBE">
        <w:rPr>
          <w:rFonts w:ascii="Times New Roman" w:hAnsi="Times New Roman" w:cs="Times New Roman"/>
          <w:sz w:val="26"/>
          <w:szCs w:val="26"/>
        </w:rPr>
        <w:t xml:space="preserve">Generally, “conspirators are liable for all of the acts and foreseeable consequences of the conspiracy.” </w:t>
      </w:r>
      <w:r w:rsidRPr="00835FBE">
        <w:rPr>
          <w:rFonts w:ascii="Times New Roman" w:hAnsi="Times New Roman" w:cs="Times New Roman"/>
          <w:i/>
          <w:iCs/>
          <w:sz w:val="26"/>
          <w:szCs w:val="26"/>
        </w:rPr>
        <w:t>United States v. Alas</w:t>
      </w:r>
      <w:r w:rsidRPr="00835FBE">
        <w:rPr>
          <w:rFonts w:ascii="Times New Roman" w:hAnsi="Times New Roman" w:cs="Times New Roman"/>
          <w:sz w:val="26"/>
          <w:szCs w:val="26"/>
        </w:rPr>
        <w:t xml:space="preserve">, 196 F.3d 1250, 1251 (11th Cir. 1999). However, the Eleventh Circuit has held “‘that, in determining a defendant’s penalty under 21 U.S.C. § 846, the drug quantity must be reasonably foreseeable to that defendant where the effect of the quantity is to require imposition of a statutory mandatory minimum sentence.’” </w:t>
      </w:r>
      <w:r w:rsidRPr="00835FBE">
        <w:rPr>
          <w:rFonts w:ascii="Times New Roman" w:hAnsi="Times New Roman" w:cs="Times New Roman"/>
          <w:i/>
          <w:iCs/>
          <w:sz w:val="26"/>
          <w:szCs w:val="26"/>
        </w:rPr>
        <w:t>United States v. Bacon</w:t>
      </w:r>
      <w:r w:rsidRPr="00835FBE">
        <w:rPr>
          <w:rFonts w:ascii="Times New Roman" w:hAnsi="Times New Roman" w:cs="Times New Roman"/>
          <w:sz w:val="26"/>
          <w:szCs w:val="26"/>
        </w:rPr>
        <w:t xml:space="preserve">, 598 F.3d 772, 778 (11th Cir. 2010) (quoting </w:t>
      </w:r>
      <w:r w:rsidRPr="00835FBE">
        <w:rPr>
          <w:rFonts w:ascii="Times New Roman" w:hAnsi="Times New Roman" w:cs="Times New Roman"/>
          <w:i/>
          <w:iCs/>
          <w:sz w:val="26"/>
          <w:szCs w:val="26"/>
        </w:rPr>
        <w:t>United States v. O’Neal</w:t>
      </w:r>
      <w:r w:rsidRPr="00835FBE">
        <w:rPr>
          <w:rFonts w:ascii="Times New Roman" w:hAnsi="Times New Roman" w:cs="Times New Roman"/>
          <w:sz w:val="26"/>
          <w:szCs w:val="26"/>
        </w:rPr>
        <w:t xml:space="preserve">, 362 F.3d 1310, 1315–16 (11th Cir. 2004), </w:t>
      </w:r>
      <w:r w:rsidRPr="00835FBE">
        <w:rPr>
          <w:rFonts w:ascii="Times New Roman" w:hAnsi="Times New Roman" w:cs="Times New Roman"/>
          <w:i/>
          <w:iCs/>
          <w:sz w:val="26"/>
          <w:szCs w:val="26"/>
        </w:rPr>
        <w:t>reinstated on remand United States v. Sapp</w:t>
      </w:r>
      <w:r w:rsidRPr="00835FBE">
        <w:rPr>
          <w:rFonts w:ascii="Times New Roman" w:hAnsi="Times New Roman" w:cs="Times New Roman"/>
          <w:sz w:val="26"/>
          <w:szCs w:val="26"/>
        </w:rPr>
        <w:t xml:space="preserve">, 154 F. </w:t>
      </w:r>
      <w:proofErr w:type="spellStart"/>
      <w:r w:rsidRPr="00835FBE">
        <w:rPr>
          <w:rFonts w:ascii="Times New Roman" w:hAnsi="Times New Roman" w:cs="Times New Roman"/>
          <w:sz w:val="26"/>
          <w:szCs w:val="26"/>
        </w:rPr>
        <w:t>App’x</w:t>
      </w:r>
      <w:proofErr w:type="spellEnd"/>
      <w:r w:rsidRPr="00835FBE">
        <w:rPr>
          <w:rFonts w:ascii="Times New Roman" w:hAnsi="Times New Roman" w:cs="Times New Roman"/>
          <w:sz w:val="26"/>
          <w:szCs w:val="26"/>
        </w:rPr>
        <w:t xml:space="preserve"> 161 (11th Cir. 2005)).</w:t>
      </w:r>
    </w:p>
    <w:p w14:paraId="4322DC63" w14:textId="1AC6C54C" w:rsidR="00761887" w:rsidRPr="00835FBE" w:rsidRDefault="00761887" w:rsidP="00761887">
      <w:pPr>
        <w:pStyle w:val="BodyText"/>
        <w:kinsoku w:val="0"/>
        <w:overflowPunct w:val="0"/>
        <w:spacing w:after="200" w:line="240" w:lineRule="auto"/>
        <w:ind w:left="43" w:firstLine="677"/>
        <w:jc w:val="both"/>
        <w:rPr>
          <w:sz w:val="26"/>
          <w:szCs w:val="26"/>
        </w:rPr>
      </w:pPr>
      <w:r w:rsidRPr="00835FBE">
        <w:rPr>
          <w:sz w:val="26"/>
          <w:szCs w:val="26"/>
        </w:rPr>
        <w:t>If a defendant is not charged with the underlying substantive offense, the court should instruct the jury on the elements of the substantive offense. That instruction can be inserted immediately after the reference to the substantive offense in the pattern instruction.</w:t>
      </w:r>
    </w:p>
    <w:p w14:paraId="27B9D71A" w14:textId="77777777" w:rsidR="00761887" w:rsidRPr="00835FBE" w:rsidRDefault="00761887" w:rsidP="00761887">
      <w:pPr>
        <w:spacing w:line="240" w:lineRule="auto"/>
        <w:jc w:val="center"/>
        <w:rPr>
          <w:rFonts w:ascii="Times New Roman" w:eastAsia="Arial" w:hAnsi="Times New Roman" w:cs="Times New Roman"/>
          <w:sz w:val="26"/>
          <w:szCs w:val="26"/>
          <w:u w:val="single"/>
        </w:rPr>
      </w:pPr>
      <w:r w:rsidRPr="00835FBE">
        <w:rPr>
          <w:rFonts w:ascii="Times New Roman" w:eastAsia="Arial" w:hAnsi="Times New Roman" w:cs="Times New Roman"/>
          <w:sz w:val="26"/>
          <w:szCs w:val="26"/>
          <w:u w:val="single"/>
        </w:rPr>
        <w:t>Special Verdict</w:t>
      </w:r>
    </w:p>
    <w:p w14:paraId="3A3493CE" w14:textId="0E163D80" w:rsidR="00761887" w:rsidRPr="00835FBE" w:rsidRDefault="00761887" w:rsidP="00761887">
      <w:pPr>
        <w:pStyle w:val="ListParagraph"/>
        <w:spacing w:line="240" w:lineRule="auto"/>
        <w:ind w:left="0" w:firstLine="720"/>
        <w:contextualSpacing w:val="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OutlineDefault \l 3 \s 1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 the Jury, find the Defendant [name of Defendant] as charged in Count [One] of the indictment.</w:t>
      </w:r>
    </w:p>
    <w:p w14:paraId="6EEDB909" w14:textId="30E072E6" w:rsidR="00761887" w:rsidRPr="00835FBE" w:rsidRDefault="00761887" w:rsidP="00761887">
      <w:pPr>
        <w:pStyle w:val="ListParagraph"/>
        <w:spacing w:line="240" w:lineRule="auto"/>
        <w:ind w:left="0" w:firstLine="720"/>
        <w:contextualSpacing w:val="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t>[Note: If you find the Defendant not guilty as charged in Count [One], you need not consider paragraph 2 below.]</w:t>
      </w:r>
    </w:p>
    <w:p w14:paraId="30FD6F4F" w14:textId="77777777" w:rsidR="00761887" w:rsidRPr="00835FBE" w:rsidRDefault="00761887" w:rsidP="00761887">
      <w:pPr>
        <w:pStyle w:val="ListParagraph"/>
        <w:spacing w:line="240" w:lineRule="auto"/>
        <w:ind w:left="0" w:firstLine="360"/>
        <w:contextualSpacing w:val="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OutlineDefault \l 3 \s 2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 the Jury, having found the Defendant guilty of the offense charged in Count [One], further find with respect to that Count that the following controlled substance[s] in </w:t>
      </w:r>
      <w:r w:rsidRPr="00835FBE">
        <w:rPr>
          <w:rFonts w:ascii="Times New Roman" w:eastAsia="Arial" w:hAnsi="Times New Roman" w:cs="Times New Roman"/>
          <w:sz w:val="26"/>
          <w:szCs w:val="26"/>
        </w:rPr>
        <w:lastRenderedPageBreak/>
        <w:t>the amount[s] shown (place an X in the appropriate box[es]) [was] [were] reasonably foreseeable to [him] [her]:</w:t>
      </w:r>
    </w:p>
    <w:p w14:paraId="7C4EA329" w14:textId="77777777" w:rsidR="00761887" w:rsidRPr="00835FBE" w:rsidRDefault="00761887" w:rsidP="00761887">
      <w:pPr>
        <w:pStyle w:val="ListParagraph"/>
        <w:spacing w:line="240" w:lineRule="auto"/>
        <w:ind w:left="0" w:firstLine="36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t>[</w:t>
      </w: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5 \s 1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Marijuana - -</w:t>
      </w:r>
    </w:p>
    <w:p w14:paraId="6FD655BA" w14:textId="77777777" w:rsidR="00761887" w:rsidRPr="00835FBE" w:rsidRDefault="00761887" w:rsidP="00761887">
      <w:pPr>
        <w:pStyle w:val="ListParagraph"/>
        <w:tabs>
          <w:tab w:val="left" w:pos="7200"/>
        </w:tabs>
        <w:spacing w:line="240" w:lineRule="auto"/>
        <w:ind w:left="1267" w:hanging="461"/>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1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1000 kilograms or more</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782188084"/>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p>
    <w:p w14:paraId="0CA3A7E6" w14:textId="77777777" w:rsidR="00761887" w:rsidRPr="00835FBE" w:rsidRDefault="00761887" w:rsidP="00761887">
      <w:pPr>
        <w:pStyle w:val="ListParagraph"/>
        <w:tabs>
          <w:tab w:val="left" w:pos="7200"/>
        </w:tabs>
        <w:spacing w:line="240" w:lineRule="auto"/>
        <w:ind w:left="1267" w:hanging="461"/>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2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100 kilograms or more </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479581833"/>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p>
    <w:p w14:paraId="7D6CE89C" w14:textId="77777777" w:rsidR="00761887" w:rsidRPr="00835FBE" w:rsidRDefault="00761887" w:rsidP="00761887">
      <w:pPr>
        <w:pStyle w:val="ListParagraph"/>
        <w:tabs>
          <w:tab w:val="left" w:pos="7200"/>
        </w:tabs>
        <w:spacing w:line="240" w:lineRule="auto"/>
        <w:ind w:left="1065" w:hanging="259"/>
        <w:contextualSpacing w:val="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3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less than 100 kilograms </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1548298308"/>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r w:rsidRPr="00835FBE">
        <w:rPr>
          <w:rFonts w:ascii="Times New Roman" w:eastAsia="Arial" w:hAnsi="Times New Roman" w:cs="Times New Roman"/>
          <w:sz w:val="26"/>
          <w:szCs w:val="26"/>
        </w:rPr>
        <w:t>]</w:t>
      </w:r>
    </w:p>
    <w:p w14:paraId="567B1630" w14:textId="77777777" w:rsidR="00761887" w:rsidRPr="00835FBE" w:rsidRDefault="00761887" w:rsidP="00761887">
      <w:pPr>
        <w:pStyle w:val="ListParagraph"/>
        <w:spacing w:after="0" w:line="240" w:lineRule="auto"/>
        <w:ind w:left="0" w:firstLine="36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t>[</w:t>
      </w: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5 \s 2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Cocaine - -</w:t>
      </w:r>
    </w:p>
    <w:p w14:paraId="4B0F1BC9" w14:textId="77777777" w:rsidR="00761887" w:rsidRPr="00835FBE" w:rsidRDefault="00761887" w:rsidP="00761887">
      <w:pPr>
        <w:pStyle w:val="ListParagraph"/>
        <w:tabs>
          <w:tab w:val="left" w:pos="7200"/>
        </w:tabs>
        <w:spacing w:after="0" w:line="240" w:lineRule="auto"/>
        <w:ind w:left="1267" w:hanging="461"/>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1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5 kilograms or more</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1607723359"/>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p>
    <w:p w14:paraId="1DA9BA86" w14:textId="77777777" w:rsidR="00761887" w:rsidRPr="00835FBE" w:rsidRDefault="00761887" w:rsidP="00761887">
      <w:pPr>
        <w:pStyle w:val="ListParagraph"/>
        <w:tabs>
          <w:tab w:val="left" w:pos="7200"/>
        </w:tabs>
        <w:spacing w:after="0" w:line="240" w:lineRule="auto"/>
        <w:ind w:left="1267" w:hanging="461"/>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2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500 grams or more</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1960607448"/>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p>
    <w:p w14:paraId="13656B9E" w14:textId="77777777" w:rsidR="00761887" w:rsidRPr="00835FBE" w:rsidRDefault="00761887" w:rsidP="00761887">
      <w:pPr>
        <w:pStyle w:val="ListParagraph"/>
        <w:tabs>
          <w:tab w:val="left" w:pos="7200"/>
        </w:tabs>
        <w:spacing w:line="240" w:lineRule="auto"/>
        <w:ind w:left="1065" w:hanging="259"/>
        <w:contextualSpacing w:val="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3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less than 500 grams</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1848911818"/>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r w:rsidRPr="00835FBE">
        <w:rPr>
          <w:rFonts w:ascii="Times New Roman" w:eastAsia="Arial" w:hAnsi="Times New Roman" w:cs="Times New Roman"/>
          <w:sz w:val="26"/>
          <w:szCs w:val="26"/>
        </w:rPr>
        <w:t>]</w:t>
      </w:r>
    </w:p>
    <w:p w14:paraId="4DE63ECE" w14:textId="77777777" w:rsidR="00761887" w:rsidRPr="00835FBE" w:rsidRDefault="00761887" w:rsidP="00761887">
      <w:pPr>
        <w:pStyle w:val="ListParagraph"/>
        <w:spacing w:after="0" w:line="240" w:lineRule="auto"/>
        <w:ind w:left="0" w:firstLine="360"/>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t>[</w:t>
      </w: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5 \s 3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Cocaine base (“crack” cocaine) - -</w:t>
      </w:r>
    </w:p>
    <w:p w14:paraId="15043DA1" w14:textId="77777777" w:rsidR="00761887" w:rsidRPr="00835FBE" w:rsidRDefault="00761887" w:rsidP="00761887">
      <w:pPr>
        <w:pStyle w:val="ListParagraph"/>
        <w:tabs>
          <w:tab w:val="left" w:pos="7200"/>
        </w:tabs>
        <w:spacing w:after="0" w:line="240" w:lineRule="auto"/>
        <w:ind w:left="1267" w:hanging="461"/>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1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280 grams or more</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1226455541"/>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p>
    <w:p w14:paraId="5EBD0654" w14:textId="77777777" w:rsidR="00761887" w:rsidRPr="00835FBE" w:rsidRDefault="00761887" w:rsidP="00761887">
      <w:pPr>
        <w:pStyle w:val="ListParagraph"/>
        <w:tabs>
          <w:tab w:val="left" w:pos="7200"/>
        </w:tabs>
        <w:spacing w:after="0" w:line="240" w:lineRule="auto"/>
        <w:ind w:left="1267" w:hanging="461"/>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2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28 grams or more </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122739211"/>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p>
    <w:p w14:paraId="14A8B13D" w14:textId="77777777" w:rsidR="00761887" w:rsidRPr="00835FBE" w:rsidRDefault="00761887" w:rsidP="00761887">
      <w:pPr>
        <w:pStyle w:val="ListParagraph"/>
        <w:tabs>
          <w:tab w:val="left" w:pos="7200"/>
        </w:tabs>
        <w:spacing w:line="240" w:lineRule="auto"/>
        <w:ind w:left="1065" w:hanging="259"/>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fldChar w:fldCharType="begin"/>
      </w:r>
      <w:r w:rsidRPr="00835FBE">
        <w:rPr>
          <w:rFonts w:ascii="Times New Roman" w:eastAsia="Arial" w:hAnsi="Times New Roman" w:cs="Times New Roman"/>
          <w:sz w:val="26"/>
          <w:szCs w:val="26"/>
        </w:rPr>
        <w:instrText xml:space="preserve"> LISTNUM  NumberDefault \l 6 \s 3 </w:instrText>
      </w:r>
      <w:r w:rsidRPr="00835FBE">
        <w:rPr>
          <w:rFonts w:ascii="Times New Roman" w:eastAsia="Arial" w:hAnsi="Times New Roman" w:cs="Times New Roman"/>
          <w:sz w:val="26"/>
          <w:szCs w:val="26"/>
        </w:rPr>
        <w:fldChar w:fldCharType="end"/>
      </w:r>
      <w:r w:rsidRPr="00835FBE">
        <w:rPr>
          <w:rFonts w:ascii="Times New Roman" w:eastAsia="Arial" w:hAnsi="Times New Roman" w:cs="Times New Roman"/>
          <w:sz w:val="26"/>
          <w:szCs w:val="26"/>
        </w:rPr>
        <w:t xml:space="preserve"> Weighing less than 28 grams </w:t>
      </w:r>
      <w:r w:rsidRPr="00835FBE">
        <w:rPr>
          <w:rFonts w:ascii="Times New Roman" w:eastAsia="Arial" w:hAnsi="Times New Roman" w:cs="Times New Roman"/>
          <w:sz w:val="26"/>
          <w:szCs w:val="26"/>
        </w:rPr>
        <w:tab/>
      </w:r>
      <w:sdt>
        <w:sdtPr>
          <w:rPr>
            <w:rFonts w:ascii="Times New Roman" w:eastAsia="Arial" w:hAnsi="Times New Roman" w:cs="Times New Roman"/>
            <w:sz w:val="26"/>
            <w:szCs w:val="26"/>
          </w:rPr>
          <w:id w:val="975871852"/>
          <w14:checkbox>
            <w14:checked w14:val="0"/>
            <w14:checkedState w14:val="2612" w14:font="MS Gothic"/>
            <w14:uncheckedState w14:val="2610" w14:font="MS Gothic"/>
          </w14:checkbox>
        </w:sdtPr>
        <w:sdtEndPr/>
        <w:sdtContent>
          <w:r w:rsidRPr="00835FBE">
            <w:rPr>
              <w:rFonts w:ascii="Segoe UI Symbol" w:eastAsia="MS Gothic" w:hAnsi="Segoe UI Symbol" w:cs="Segoe UI Symbol"/>
              <w:sz w:val="26"/>
              <w:szCs w:val="26"/>
            </w:rPr>
            <w:t>☐</w:t>
          </w:r>
        </w:sdtContent>
      </w:sdt>
      <w:r w:rsidRPr="00835FBE">
        <w:rPr>
          <w:rFonts w:ascii="Times New Roman" w:eastAsia="Arial" w:hAnsi="Times New Roman" w:cs="Times New Roman"/>
          <w:sz w:val="26"/>
          <w:szCs w:val="26"/>
        </w:rPr>
        <w:t>]</w:t>
      </w:r>
    </w:p>
    <w:p w14:paraId="05574DC6" w14:textId="77777777" w:rsidR="00761887" w:rsidRPr="00835FBE" w:rsidRDefault="00761887" w:rsidP="00761887">
      <w:pPr>
        <w:spacing w:after="0" w:line="240" w:lineRule="auto"/>
        <w:jc w:val="both"/>
        <w:rPr>
          <w:rFonts w:ascii="Times New Roman" w:eastAsia="Arial" w:hAnsi="Times New Roman" w:cs="Times New Roman"/>
          <w:sz w:val="26"/>
          <w:szCs w:val="26"/>
        </w:rPr>
      </w:pPr>
      <w:proofErr w:type="gramStart"/>
      <w:r w:rsidRPr="00835FBE">
        <w:rPr>
          <w:rFonts w:ascii="Times New Roman" w:eastAsia="Arial" w:hAnsi="Times New Roman" w:cs="Times New Roman"/>
          <w:sz w:val="26"/>
          <w:szCs w:val="26"/>
        </w:rPr>
        <w:t>SO</w:t>
      </w:r>
      <w:proofErr w:type="gramEnd"/>
      <w:r w:rsidRPr="00835FBE">
        <w:rPr>
          <w:rFonts w:ascii="Times New Roman" w:eastAsia="Arial" w:hAnsi="Times New Roman" w:cs="Times New Roman"/>
          <w:sz w:val="26"/>
          <w:szCs w:val="26"/>
        </w:rPr>
        <w:t xml:space="preserve"> SAY WE ALL.</w:t>
      </w:r>
    </w:p>
    <w:p w14:paraId="014F5E7B" w14:textId="77777777" w:rsidR="00761887" w:rsidRPr="00835FBE" w:rsidRDefault="00761887" w:rsidP="00761887">
      <w:pPr>
        <w:pStyle w:val="BodyText"/>
        <w:spacing w:line="240" w:lineRule="auto"/>
        <w:rPr>
          <w:sz w:val="26"/>
          <w:szCs w:val="26"/>
        </w:rPr>
      </w:pPr>
    </w:p>
    <w:p w14:paraId="5CE834FA" w14:textId="77777777" w:rsidR="00761887" w:rsidRPr="00835FBE" w:rsidRDefault="00761887" w:rsidP="00761887">
      <w:pPr>
        <w:pStyle w:val="BodyText"/>
        <w:spacing w:line="240" w:lineRule="auto"/>
        <w:rPr>
          <w:sz w:val="26"/>
          <w:szCs w:val="26"/>
        </w:rPr>
      </w:pPr>
    </w:p>
    <w:p w14:paraId="53453FAD" w14:textId="77777777" w:rsidR="00761887" w:rsidRPr="00835FBE" w:rsidRDefault="00761887" w:rsidP="00761887">
      <w:pPr>
        <w:tabs>
          <w:tab w:val="left" w:pos="5760"/>
        </w:tabs>
        <w:spacing w:after="0" w:line="240" w:lineRule="auto"/>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t>Date: ________________</w:t>
      </w:r>
      <w:r w:rsidRPr="00835FBE">
        <w:rPr>
          <w:rFonts w:ascii="Times New Roman" w:eastAsia="Arial" w:hAnsi="Times New Roman" w:cs="Times New Roman"/>
          <w:sz w:val="26"/>
          <w:szCs w:val="26"/>
        </w:rPr>
        <w:tab/>
        <w:t>__________________________</w:t>
      </w:r>
    </w:p>
    <w:p w14:paraId="22A8A186" w14:textId="77777777" w:rsidR="00761887" w:rsidRPr="00835FBE" w:rsidRDefault="00761887" w:rsidP="00761887">
      <w:pPr>
        <w:tabs>
          <w:tab w:val="left" w:pos="6840"/>
        </w:tabs>
        <w:spacing w:line="240" w:lineRule="auto"/>
        <w:jc w:val="both"/>
        <w:rPr>
          <w:rFonts w:ascii="Times New Roman" w:eastAsia="Arial" w:hAnsi="Times New Roman" w:cs="Times New Roman"/>
          <w:sz w:val="26"/>
          <w:szCs w:val="26"/>
        </w:rPr>
      </w:pPr>
      <w:r w:rsidRPr="00835FBE">
        <w:rPr>
          <w:rFonts w:ascii="Times New Roman" w:eastAsia="Arial" w:hAnsi="Times New Roman" w:cs="Times New Roman"/>
          <w:sz w:val="26"/>
          <w:szCs w:val="26"/>
        </w:rPr>
        <w:tab/>
        <w:t>Foreperson</w:t>
      </w:r>
    </w:p>
    <w:p w14:paraId="36EA8C1F" w14:textId="7F3A871F" w:rsidR="00CF47AF" w:rsidRDefault="00761887" w:rsidP="00761887">
      <w:pPr>
        <w:pStyle w:val="BodyText"/>
        <w:spacing w:line="240" w:lineRule="auto"/>
      </w:pPr>
      <w:r w:rsidRPr="00835FBE">
        <w:rPr>
          <w:rFonts w:eastAsia="Arial"/>
          <w:sz w:val="26"/>
          <w:szCs w:val="26"/>
        </w:rPr>
        <w:t>Multiple sets of the two paragraphs in this Special Verdict form will be necessary in the event of multiple counts of drug offenses against the same Defendant.</w:t>
      </w:r>
    </w:p>
    <w:sectPr w:rsidR="00CF47AF" w:rsidSect="00E84635">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887"/>
    <w:rsid w:val="002046B3"/>
    <w:rsid w:val="002319B9"/>
    <w:rsid w:val="00761887"/>
    <w:rsid w:val="007A1C72"/>
    <w:rsid w:val="00993087"/>
    <w:rsid w:val="00A622BA"/>
    <w:rsid w:val="00CF4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7D86"/>
  <w15:chartTrackingRefBased/>
  <w15:docId w15:val="{E2A6D1F6-083E-4A8A-A3B4-7CD13D10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887"/>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887"/>
    <w:pPr>
      <w:ind w:left="720"/>
      <w:contextualSpacing/>
    </w:pPr>
  </w:style>
  <w:style w:type="paragraph" w:styleId="BodyText">
    <w:name w:val="Body Text"/>
    <w:basedOn w:val="Normal"/>
    <w:link w:val="BodyTextChar"/>
    <w:uiPriority w:val="1"/>
    <w:qFormat/>
    <w:rsid w:val="00761887"/>
    <w:pPr>
      <w:autoSpaceDE w:val="0"/>
      <w:autoSpaceDN w:val="0"/>
      <w:adjustRightInd w:val="0"/>
      <w:spacing w:after="0" w:line="295" w:lineRule="exact"/>
      <w:ind w:left="39"/>
    </w:pPr>
    <w:rPr>
      <w:rFonts w:ascii="Times New Roman" w:hAnsi="Times New Roman" w:cs="Times New Roman"/>
      <w:sz w:val="28"/>
      <w:szCs w:val="28"/>
    </w:rPr>
  </w:style>
  <w:style w:type="character" w:customStyle="1" w:styleId="BodyTextChar">
    <w:name w:val="Body Text Char"/>
    <w:basedOn w:val="DefaultParagraphFont"/>
    <w:link w:val="BodyText"/>
    <w:uiPriority w:val="1"/>
    <w:rsid w:val="00761887"/>
    <w:rPr>
      <w:rFonts w:ascii="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965</Words>
  <Characters>5501</Characters>
  <Application>Microsoft Office Word</Application>
  <DocSecurity>0</DocSecurity>
  <Lines>45</Lines>
  <Paragraphs>12</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Kathleen Adams</cp:lastModifiedBy>
  <cp:revision>2</cp:revision>
  <dcterms:created xsi:type="dcterms:W3CDTF">2026-03-26T16:05:00Z</dcterms:created>
  <dcterms:modified xsi:type="dcterms:W3CDTF">2026-03-26T18:26:00Z</dcterms:modified>
</cp:coreProperties>
</file>