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3AA" w:rsidRDefault="00ED63AA" w:rsidP="00ED63A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ED63AA" w:rsidRDefault="00ED63AA" w:rsidP="00ED63A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D63AA" w:rsidRDefault="00ED63AA" w:rsidP="00ED63A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An instruction on withdrawal from a drug conspiracy is not generally appropriate because no overt act is required. </w:t>
      </w:r>
      <w:r w:rsidRPr="002C4300">
        <w:rPr>
          <w:rFonts w:ascii="Times New Roman" w:eastAsia="Arial" w:hAnsi="Times New Roman" w:cs="Times New Roman"/>
          <w:i/>
          <w:sz w:val="26"/>
          <w:szCs w:val="26"/>
        </w:rPr>
        <w:t xml:space="preserve">See United States v. </w:t>
      </w:r>
      <w:proofErr w:type="spellStart"/>
      <w:r w:rsidRPr="002C4300">
        <w:rPr>
          <w:rFonts w:ascii="Times New Roman" w:eastAsia="Arial" w:hAnsi="Times New Roman" w:cs="Times New Roman"/>
          <w:i/>
          <w:sz w:val="26"/>
          <w:szCs w:val="26"/>
        </w:rPr>
        <w:t>Nicoll</w:t>
      </w:r>
      <w:proofErr w:type="spellEnd"/>
      <w:r>
        <w:rPr>
          <w:rFonts w:ascii="Times New Roman" w:eastAsia="Arial" w:hAnsi="Times New Roman" w:cs="Times New Roman"/>
          <w:sz w:val="26"/>
          <w:szCs w:val="26"/>
        </w:rPr>
        <w:t>, 664 F.2d 1308, 1315 (5</w:t>
      </w:r>
      <w:r w:rsidRPr="003C0B78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Unit B 1982), overruled on other grounds by </w:t>
      </w:r>
      <w:r w:rsidRPr="002C4300">
        <w:rPr>
          <w:rFonts w:ascii="Times New Roman" w:eastAsia="Arial" w:hAnsi="Times New Roman" w:cs="Times New Roman"/>
          <w:i/>
          <w:sz w:val="26"/>
          <w:szCs w:val="26"/>
        </w:rPr>
        <w:t>United States v. Henry</w:t>
      </w:r>
      <w:r>
        <w:rPr>
          <w:rFonts w:ascii="Times New Roman" w:eastAsia="Arial" w:hAnsi="Times New Roman" w:cs="Times New Roman"/>
          <w:sz w:val="26"/>
          <w:szCs w:val="26"/>
        </w:rPr>
        <w:t>, 749 F.2d 203 (5</w:t>
      </w:r>
      <w:r w:rsidRPr="003C0B78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1984); </w:t>
      </w:r>
      <w:r w:rsidRPr="002C4300">
        <w:rPr>
          <w:rFonts w:ascii="Times New Roman" w:eastAsia="Arial" w:hAnsi="Times New Roman" w:cs="Times New Roman"/>
          <w:i/>
          <w:sz w:val="26"/>
          <w:szCs w:val="26"/>
        </w:rPr>
        <w:t>United States v. Williams</w:t>
      </w:r>
      <w:r>
        <w:rPr>
          <w:rFonts w:ascii="Times New Roman" w:eastAsia="Arial" w:hAnsi="Times New Roman" w:cs="Times New Roman"/>
          <w:sz w:val="26"/>
          <w:szCs w:val="26"/>
        </w:rPr>
        <w:t>, 374 F.3d 941, 949-50 &amp; nn.11-12 (10</w:t>
      </w:r>
      <w:r w:rsidRPr="003C0B78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2004) (“Because there is no overt act requirement under the drug conspiracy statute, withdrawal cannot relieve a defendant of criminal responsibility for a conspiracy charged under § 846.”); </w:t>
      </w:r>
      <w:r w:rsidRPr="002C4300">
        <w:rPr>
          <w:rFonts w:ascii="Times New Roman" w:eastAsia="Arial" w:hAnsi="Times New Roman" w:cs="Times New Roman"/>
          <w:i/>
          <w:sz w:val="26"/>
          <w:szCs w:val="26"/>
        </w:rPr>
        <w:t xml:space="preserve">United States v. </w:t>
      </w:r>
      <w:proofErr w:type="spellStart"/>
      <w:r w:rsidRPr="002C4300">
        <w:rPr>
          <w:rFonts w:ascii="Times New Roman" w:eastAsia="Arial" w:hAnsi="Times New Roman" w:cs="Times New Roman"/>
          <w:i/>
          <w:sz w:val="26"/>
          <w:szCs w:val="26"/>
        </w:rPr>
        <w:t>Grimmett</w:t>
      </w:r>
      <w:proofErr w:type="spellEnd"/>
      <w:r>
        <w:rPr>
          <w:rFonts w:ascii="Times New Roman" w:eastAsia="Arial" w:hAnsi="Times New Roman" w:cs="Times New Roman"/>
          <w:sz w:val="26"/>
          <w:szCs w:val="26"/>
        </w:rPr>
        <w:t>, 150 F.3d 958, 961 (8</w:t>
      </w:r>
      <w:r w:rsidRPr="003C0B78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1998) (discussing the “general rule that a defendant may not raise withdrawal as an affirmative defense to a conspiracy charge where no overt act is necessary”).</w:t>
      </w:r>
    </w:p>
    <w:p w:rsidR="00ED63AA" w:rsidRDefault="00ED63AA" w:rsidP="00ED63A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ED63AA" w:rsidRDefault="00ED63AA" w:rsidP="00ED63A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gramStart"/>
      <w:r>
        <w:rPr>
          <w:rFonts w:ascii="Times New Roman" w:eastAsia="Arial" w:hAnsi="Times New Roman" w:cs="Times New Roman"/>
          <w:sz w:val="26"/>
          <w:szCs w:val="26"/>
        </w:rPr>
        <w:t xml:space="preserve">However, under </w:t>
      </w:r>
      <w:r w:rsidRPr="002C4300">
        <w:rPr>
          <w:rFonts w:ascii="Times New Roman" w:eastAsia="Arial" w:hAnsi="Times New Roman" w:cs="Times New Roman"/>
          <w:i/>
          <w:sz w:val="26"/>
          <w:szCs w:val="26"/>
        </w:rPr>
        <w:t>Apprendi v.</w:t>
      </w:r>
      <w:proofErr w:type="gramEnd"/>
      <w:r w:rsidRPr="002C4300">
        <w:rPr>
          <w:rFonts w:ascii="Times New Roman" w:eastAsia="Arial" w:hAnsi="Times New Roman" w:cs="Times New Roman"/>
          <w:i/>
          <w:sz w:val="26"/>
          <w:szCs w:val="26"/>
        </w:rPr>
        <w:t xml:space="preserve"> New Jersey</w:t>
      </w:r>
      <w:r>
        <w:rPr>
          <w:rFonts w:ascii="Times New Roman" w:eastAsia="Arial" w:hAnsi="Times New Roman" w:cs="Times New Roman"/>
          <w:sz w:val="26"/>
          <w:szCs w:val="26"/>
        </w:rPr>
        <w:t>, 530 U.S. 466, 120 S. Ct. 2348 (2000), a jury must find beyond a reasonable doubt all facts that increase the penalty for a crime beyond the prescribed statutory maximum. Because the statutory sentence applicable to a drug conspiracy depends on the quantity of drugs involved, see 21 U.S.C. § 841, a withdrawal instruction may be necessary if there is evidence that the drug quantity attributable to the conspiracy at large increased after a particular defendant withdrew.</w:t>
      </w:r>
    </w:p>
    <w:p w:rsidR="00ED63AA" w:rsidRDefault="00ED63AA" w:rsidP="00ED63A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ED63AA" w:rsidRDefault="00ED63AA" w:rsidP="00ED63A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In order to assert a withdrawal defense, a defendant must prove that he “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 xml:space="preserve"> undertook affirmative steps, inconsistent with the objects of the conspiracy, to disavow or to defeat the conspiratorial objectives, and 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 xml:space="preserve"> either communicated those acts in a manner reasonably calculated to reach his co-conspirators or disclosed the illegal scheme to law enforcement authorities.” </w:t>
      </w:r>
      <w:r w:rsidRPr="002C4300">
        <w:rPr>
          <w:rFonts w:ascii="Times New Roman" w:eastAsia="Arial" w:hAnsi="Times New Roman" w:cs="Times New Roman"/>
          <w:i/>
          <w:sz w:val="26"/>
          <w:szCs w:val="26"/>
        </w:rPr>
        <w:t>United States v. Aviles</w:t>
      </w:r>
      <w:r>
        <w:rPr>
          <w:rFonts w:ascii="Times New Roman" w:eastAsia="Arial" w:hAnsi="Times New Roman" w:cs="Times New Roman"/>
          <w:sz w:val="26"/>
          <w:szCs w:val="26"/>
        </w:rPr>
        <w:t>, 518 F.3d 1228, 1231 n.3 (11</w:t>
      </w:r>
      <w:r w:rsidRPr="009D7BB7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2008) (citation and internal quotations omitted); </w:t>
      </w:r>
      <w:r w:rsidRPr="002C4300">
        <w:rPr>
          <w:rFonts w:ascii="Times New Roman" w:eastAsia="Arial" w:hAnsi="Times New Roman" w:cs="Times New Roman"/>
          <w:i/>
          <w:sz w:val="26"/>
          <w:szCs w:val="26"/>
        </w:rPr>
        <w:t>United States v. Odom</w:t>
      </w:r>
      <w:r>
        <w:rPr>
          <w:rFonts w:ascii="Times New Roman" w:eastAsia="Arial" w:hAnsi="Times New Roman" w:cs="Times New Roman"/>
          <w:sz w:val="26"/>
          <w:szCs w:val="26"/>
        </w:rPr>
        <w:t>, 252 F.3d 1289, 1299 (11</w:t>
      </w:r>
      <w:r w:rsidRPr="009D7BB7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2001); </w:t>
      </w:r>
      <w:r w:rsidRPr="002C4300">
        <w:rPr>
          <w:rFonts w:ascii="Times New Roman" w:eastAsia="Arial" w:hAnsi="Times New Roman" w:cs="Times New Roman"/>
          <w:i/>
          <w:sz w:val="26"/>
          <w:szCs w:val="26"/>
        </w:rPr>
        <w:t>United States v. Young</w:t>
      </w:r>
      <w:r>
        <w:rPr>
          <w:rFonts w:ascii="Times New Roman" w:eastAsia="Arial" w:hAnsi="Times New Roman" w:cs="Times New Roman"/>
          <w:sz w:val="26"/>
          <w:szCs w:val="26"/>
        </w:rPr>
        <w:t>, 39 F.3d 1561, 1571 (11</w:t>
      </w:r>
      <w:r w:rsidRPr="009D7BB7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1994).</w:t>
      </w:r>
    </w:p>
    <w:p w:rsidR="00ED63AA" w:rsidRDefault="00ED63AA" w:rsidP="00ED63A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ED63AA" w:rsidRDefault="00ED63AA" w:rsidP="00ED63A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Where a defendant bears the burden of proof on an affirmative defense, such as this one, the burden of proof is preponderance of the evidence. </w:t>
      </w:r>
      <w:proofErr w:type="gramStart"/>
      <w:r w:rsidRPr="002C4300">
        <w:rPr>
          <w:rFonts w:ascii="Times New Roman" w:eastAsia="Arial" w:hAnsi="Times New Roman" w:cs="Times New Roman"/>
          <w:i/>
          <w:sz w:val="26"/>
          <w:szCs w:val="26"/>
        </w:rPr>
        <w:t>See, e.g., Dixon v. United States</w:t>
      </w:r>
      <w:r>
        <w:rPr>
          <w:rFonts w:ascii="Times New Roman" w:eastAsia="Arial" w:hAnsi="Times New Roman" w:cs="Times New Roman"/>
          <w:sz w:val="26"/>
          <w:szCs w:val="26"/>
        </w:rPr>
        <w:t>, 548 U.S. 1, 17, 126 S. Ct. 2347, 2447-48 (2008).</w:t>
      </w:r>
      <w:proofErr w:type="gramEnd"/>
      <w:r>
        <w:rPr>
          <w:rFonts w:ascii="Times New Roman" w:eastAsia="Arial" w:hAnsi="Times New Roman" w:cs="Times New Roman"/>
          <w:sz w:val="26"/>
          <w:szCs w:val="26"/>
        </w:rPr>
        <w:t xml:space="preserve"> The Eleventh Circuit describes the defendant’s burden on proving withdrawal from a conspiracy as “substantial.” </w:t>
      </w:r>
      <w:proofErr w:type="gramStart"/>
      <w:r w:rsidRPr="002C4300">
        <w:rPr>
          <w:rFonts w:ascii="Times New Roman" w:eastAsia="Arial" w:hAnsi="Times New Roman" w:cs="Times New Roman"/>
          <w:i/>
          <w:sz w:val="26"/>
          <w:szCs w:val="26"/>
        </w:rPr>
        <w:t xml:space="preserve">United States v. </w:t>
      </w:r>
      <w:proofErr w:type="spellStart"/>
      <w:r w:rsidRPr="002C4300">
        <w:rPr>
          <w:rFonts w:ascii="Times New Roman" w:eastAsia="Arial" w:hAnsi="Times New Roman" w:cs="Times New Roman"/>
          <w:i/>
          <w:sz w:val="26"/>
          <w:szCs w:val="26"/>
        </w:rPr>
        <w:t>Westry</w:t>
      </w:r>
      <w:proofErr w:type="spellEnd"/>
      <w:r>
        <w:rPr>
          <w:rFonts w:ascii="Times New Roman" w:eastAsia="Arial" w:hAnsi="Times New Roman" w:cs="Times New Roman"/>
          <w:sz w:val="26"/>
          <w:szCs w:val="26"/>
        </w:rPr>
        <w:t>, 524 F.3d 1198, 1216-17 (11</w:t>
      </w:r>
      <w:r w:rsidRPr="009D7BB7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2008).</w:t>
      </w:r>
      <w:proofErr w:type="gramEnd"/>
      <w:r>
        <w:rPr>
          <w:rFonts w:ascii="Times New Roman" w:eastAsia="Arial" w:hAnsi="Times New Roman" w:cs="Times New Roman"/>
          <w:sz w:val="26"/>
          <w:szCs w:val="26"/>
        </w:rPr>
        <w:t xml:space="preserve"> Neither arrest nor incarceration during the time frame of the conspiracy automatically triggers withdrawal from a conspiracy. </w:t>
      </w:r>
      <w:proofErr w:type="gramStart"/>
      <w:r w:rsidRPr="002C4300">
        <w:rPr>
          <w:rFonts w:ascii="Times New Roman" w:eastAsia="Arial" w:hAnsi="Times New Roman" w:cs="Times New Roman"/>
          <w:i/>
          <w:sz w:val="26"/>
          <w:szCs w:val="26"/>
        </w:rPr>
        <w:t>United States v. Gonzalez</w:t>
      </w:r>
      <w:r>
        <w:rPr>
          <w:rFonts w:ascii="Times New Roman" w:eastAsia="Arial" w:hAnsi="Times New Roman" w:cs="Times New Roman"/>
          <w:sz w:val="26"/>
          <w:szCs w:val="26"/>
        </w:rPr>
        <w:t>, 940 F.2d 1413, 1427 (11</w:t>
      </w:r>
      <w:r w:rsidRPr="009D7BB7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1991).</w:t>
      </w:r>
      <w:proofErr w:type="gramEnd"/>
      <w:r>
        <w:rPr>
          <w:rFonts w:ascii="Times New Roman" w:eastAsia="Arial" w:hAnsi="Times New Roman" w:cs="Times New Roman"/>
          <w:sz w:val="26"/>
          <w:szCs w:val="26"/>
        </w:rPr>
        <w:t xml:space="preserve"> Also, “[a] mere cessation of activity in the conspiracy is not sufficient to establish withdrawal.” </w:t>
      </w:r>
      <w:r w:rsidRPr="002C4300">
        <w:rPr>
          <w:rFonts w:ascii="Times New Roman" w:eastAsia="Arial" w:hAnsi="Times New Roman" w:cs="Times New Roman"/>
          <w:i/>
          <w:sz w:val="26"/>
          <w:szCs w:val="26"/>
        </w:rPr>
        <w:t xml:space="preserve">United States v. </w:t>
      </w:r>
      <w:proofErr w:type="spellStart"/>
      <w:r w:rsidRPr="002C4300">
        <w:rPr>
          <w:rFonts w:ascii="Times New Roman" w:eastAsia="Arial" w:hAnsi="Times New Roman" w:cs="Times New Roman"/>
          <w:i/>
          <w:sz w:val="26"/>
          <w:szCs w:val="26"/>
        </w:rPr>
        <w:t>Finestone</w:t>
      </w:r>
      <w:proofErr w:type="spellEnd"/>
      <w:r>
        <w:rPr>
          <w:rFonts w:ascii="Times New Roman" w:eastAsia="Arial" w:hAnsi="Times New Roman" w:cs="Times New Roman"/>
          <w:sz w:val="26"/>
          <w:szCs w:val="26"/>
        </w:rPr>
        <w:t>, 816 F.2d 583, 589 (11</w:t>
      </w:r>
      <w:r w:rsidRPr="009D7BB7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1987), </w:t>
      </w:r>
      <w:r w:rsidRPr="002C4300">
        <w:rPr>
          <w:rFonts w:ascii="Times New Roman" w:eastAsia="Arial" w:hAnsi="Times New Roman" w:cs="Times New Roman"/>
          <w:i/>
          <w:sz w:val="26"/>
          <w:szCs w:val="26"/>
        </w:rPr>
        <w:t>cert. denied</w:t>
      </w:r>
      <w:r>
        <w:rPr>
          <w:rFonts w:ascii="Times New Roman" w:eastAsia="Arial" w:hAnsi="Times New Roman" w:cs="Times New Roman"/>
          <w:sz w:val="26"/>
          <w:szCs w:val="26"/>
        </w:rPr>
        <w:t>, 484 U.S. 948, 108 S. Ct. 338 (1987).</w:t>
      </w:r>
      <w:bookmarkStart w:id="0" w:name="_GoBack"/>
      <w:bookmarkEnd w:id="0"/>
    </w:p>
    <w:sectPr w:rsidR="00725167" w:rsidRPr="00ED6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097" w:rsidRDefault="00563097" w:rsidP="00563097">
      <w:pPr>
        <w:spacing w:after="0" w:line="240" w:lineRule="auto"/>
      </w:pPr>
      <w:r>
        <w:separator/>
      </w:r>
    </w:p>
  </w:endnote>
  <w:endnote w:type="continuationSeparator" w:id="0">
    <w:p w:rsidR="00563097" w:rsidRDefault="00563097" w:rsidP="0056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097" w:rsidRDefault="00563097" w:rsidP="00563097">
      <w:pPr>
        <w:spacing w:after="0" w:line="240" w:lineRule="auto"/>
      </w:pPr>
      <w:r>
        <w:separator/>
      </w:r>
    </w:p>
  </w:footnote>
  <w:footnote w:type="continuationSeparator" w:id="0">
    <w:p w:rsidR="00563097" w:rsidRDefault="00563097" w:rsidP="00563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5FF6"/>
    <w:rsid w:val="001E3479"/>
    <w:rsid w:val="001E4EF8"/>
    <w:rsid w:val="001E5B53"/>
    <w:rsid w:val="001F7640"/>
    <w:rsid w:val="002077C3"/>
    <w:rsid w:val="00212F99"/>
    <w:rsid w:val="002161E7"/>
    <w:rsid w:val="002329BF"/>
    <w:rsid w:val="00233997"/>
    <w:rsid w:val="00236275"/>
    <w:rsid w:val="00245EF2"/>
    <w:rsid w:val="00246533"/>
    <w:rsid w:val="002604B9"/>
    <w:rsid w:val="00290544"/>
    <w:rsid w:val="002B6595"/>
    <w:rsid w:val="002C4300"/>
    <w:rsid w:val="002D2202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6207"/>
    <w:rsid w:val="00406A43"/>
    <w:rsid w:val="00431B02"/>
    <w:rsid w:val="00465F35"/>
    <w:rsid w:val="00480645"/>
    <w:rsid w:val="00483B81"/>
    <w:rsid w:val="004A1AAC"/>
    <w:rsid w:val="004A354F"/>
    <w:rsid w:val="004C148A"/>
    <w:rsid w:val="004C531E"/>
    <w:rsid w:val="004D06A2"/>
    <w:rsid w:val="004D5FF5"/>
    <w:rsid w:val="004E48D7"/>
    <w:rsid w:val="004F0806"/>
    <w:rsid w:val="00503A01"/>
    <w:rsid w:val="00511CE4"/>
    <w:rsid w:val="00533E75"/>
    <w:rsid w:val="00543EBC"/>
    <w:rsid w:val="0056064A"/>
    <w:rsid w:val="00563097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F0CBC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912D2D"/>
    <w:rsid w:val="0091750A"/>
    <w:rsid w:val="009458BA"/>
    <w:rsid w:val="00970D47"/>
    <w:rsid w:val="009745AC"/>
    <w:rsid w:val="00980E88"/>
    <w:rsid w:val="009A4745"/>
    <w:rsid w:val="009B3EC8"/>
    <w:rsid w:val="009C1E78"/>
    <w:rsid w:val="009D3F6A"/>
    <w:rsid w:val="009E1B73"/>
    <w:rsid w:val="009F0040"/>
    <w:rsid w:val="009F5C1B"/>
    <w:rsid w:val="009F5DAD"/>
    <w:rsid w:val="00A355FD"/>
    <w:rsid w:val="00A53126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BF3DBF"/>
    <w:rsid w:val="00C1091D"/>
    <w:rsid w:val="00C60792"/>
    <w:rsid w:val="00C6290E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3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097"/>
  </w:style>
  <w:style w:type="paragraph" w:styleId="Footer">
    <w:name w:val="footer"/>
    <w:basedOn w:val="Normal"/>
    <w:link w:val="FooterChar"/>
    <w:uiPriority w:val="99"/>
    <w:unhideWhenUsed/>
    <w:rsid w:val="00563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0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3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097"/>
  </w:style>
  <w:style w:type="paragraph" w:styleId="Footer">
    <w:name w:val="footer"/>
    <w:basedOn w:val="Normal"/>
    <w:link w:val="FooterChar"/>
    <w:uiPriority w:val="99"/>
    <w:unhideWhenUsed/>
    <w:rsid w:val="00563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2014-03-31T22:00:00Z</dcterms:created>
  <dcterms:modified xsi:type="dcterms:W3CDTF">2014-06-17T00:28:00Z</dcterms:modified>
</cp:coreProperties>
</file>