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095" w:rsidRDefault="00260095" w:rsidP="00260095">
      <w:pPr>
        <w:spacing w:after="0" w:line="240" w:lineRule="auto"/>
        <w:jc w:val="both"/>
        <w:rPr>
          <w:rFonts w:ascii="Times New Roman" w:eastAsia="Arial" w:hAnsi="Times New Roman"/>
          <w:sz w:val="26"/>
          <w:szCs w:val="26"/>
        </w:rPr>
      </w:pPr>
      <w:r>
        <w:rPr>
          <w:rFonts w:ascii="Times New Roman" w:eastAsia="Arial" w:hAnsi="Times New Roman"/>
          <w:b/>
          <w:sz w:val="26"/>
          <w:szCs w:val="26"/>
          <w:u w:val="single"/>
        </w:rPr>
        <w:t>ANNOTATIONS AND COMMENTS</w:t>
      </w:r>
    </w:p>
    <w:p w:rsidR="00260095" w:rsidRDefault="00260095" w:rsidP="00260095">
      <w:pPr>
        <w:spacing w:after="0" w:line="240" w:lineRule="auto"/>
        <w:jc w:val="both"/>
        <w:rPr>
          <w:rFonts w:ascii="Times New Roman" w:eastAsia="Arial" w:hAnsi="Times New Roman"/>
          <w:sz w:val="26"/>
          <w:szCs w:val="26"/>
        </w:rPr>
      </w:pPr>
    </w:p>
    <w:p w:rsidR="00260095" w:rsidRDefault="00260095" w:rsidP="00260095">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An instruction on withdrawal from a drug conspiracy is not generally appropriate because no overt act is required. </w:t>
      </w:r>
      <w:r w:rsidRPr="00B52B95">
        <w:rPr>
          <w:rFonts w:ascii="Times New Roman" w:eastAsia="Arial" w:hAnsi="Times New Roman" w:cs="Times New Roman"/>
          <w:i/>
          <w:sz w:val="26"/>
          <w:szCs w:val="26"/>
        </w:rPr>
        <w:t xml:space="preserve">See United States v. </w:t>
      </w:r>
      <w:proofErr w:type="spellStart"/>
      <w:r w:rsidRPr="00B52B95">
        <w:rPr>
          <w:rFonts w:ascii="Times New Roman" w:eastAsia="Arial" w:hAnsi="Times New Roman" w:cs="Times New Roman"/>
          <w:i/>
          <w:sz w:val="26"/>
          <w:szCs w:val="26"/>
        </w:rPr>
        <w:t>Nicoll</w:t>
      </w:r>
      <w:proofErr w:type="spellEnd"/>
      <w:r>
        <w:rPr>
          <w:rFonts w:ascii="Times New Roman" w:eastAsia="Arial" w:hAnsi="Times New Roman" w:cs="Times New Roman"/>
          <w:sz w:val="26"/>
          <w:szCs w:val="26"/>
        </w:rPr>
        <w:t>, 664 F.2d 1308, 1315 (5</w:t>
      </w:r>
      <w:r w:rsidRPr="003C0B78">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Unit B 1982), overruled on other grounds by </w:t>
      </w:r>
      <w:r w:rsidRPr="00B52B95">
        <w:rPr>
          <w:rFonts w:ascii="Times New Roman" w:eastAsia="Arial" w:hAnsi="Times New Roman" w:cs="Times New Roman"/>
          <w:i/>
          <w:sz w:val="26"/>
          <w:szCs w:val="26"/>
        </w:rPr>
        <w:t>United States v. Henry</w:t>
      </w:r>
      <w:r>
        <w:rPr>
          <w:rFonts w:ascii="Times New Roman" w:eastAsia="Arial" w:hAnsi="Times New Roman" w:cs="Times New Roman"/>
          <w:sz w:val="26"/>
          <w:szCs w:val="26"/>
        </w:rPr>
        <w:t>, 749 F.2d 203 (5</w:t>
      </w:r>
      <w:r w:rsidRPr="003C0B78">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1984); </w:t>
      </w:r>
      <w:r w:rsidRPr="00B52B95">
        <w:rPr>
          <w:rFonts w:ascii="Times New Roman" w:eastAsia="Arial" w:hAnsi="Times New Roman" w:cs="Times New Roman"/>
          <w:i/>
          <w:sz w:val="26"/>
          <w:szCs w:val="26"/>
        </w:rPr>
        <w:t>United States v. Williams</w:t>
      </w:r>
      <w:r>
        <w:rPr>
          <w:rFonts w:ascii="Times New Roman" w:eastAsia="Arial" w:hAnsi="Times New Roman" w:cs="Times New Roman"/>
          <w:sz w:val="26"/>
          <w:szCs w:val="26"/>
        </w:rPr>
        <w:t>, 374 F.3d 941, 949-50 &amp; nn.11-12 (10</w:t>
      </w:r>
      <w:r w:rsidRPr="003C0B78">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2004) (“Because there is no overt act requirement under the drug conspiracy statute, withdrawal cannot relieve a defendant of criminal responsibility for a conspiracy charged under § 846.”); </w:t>
      </w:r>
      <w:r w:rsidRPr="00B52B95">
        <w:rPr>
          <w:rFonts w:ascii="Times New Roman" w:eastAsia="Arial" w:hAnsi="Times New Roman" w:cs="Times New Roman"/>
          <w:i/>
          <w:sz w:val="26"/>
          <w:szCs w:val="26"/>
        </w:rPr>
        <w:t xml:space="preserve">United States v. </w:t>
      </w:r>
      <w:proofErr w:type="spellStart"/>
      <w:r w:rsidRPr="00B52B95">
        <w:rPr>
          <w:rFonts w:ascii="Times New Roman" w:eastAsia="Arial" w:hAnsi="Times New Roman" w:cs="Times New Roman"/>
          <w:i/>
          <w:sz w:val="26"/>
          <w:szCs w:val="26"/>
        </w:rPr>
        <w:t>Grimmett</w:t>
      </w:r>
      <w:proofErr w:type="spellEnd"/>
      <w:r>
        <w:rPr>
          <w:rFonts w:ascii="Times New Roman" w:eastAsia="Arial" w:hAnsi="Times New Roman" w:cs="Times New Roman"/>
          <w:sz w:val="26"/>
          <w:szCs w:val="26"/>
        </w:rPr>
        <w:t>, 150 F.3d 958, 961 (8</w:t>
      </w:r>
      <w:r w:rsidRPr="003C0B78">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1998) (discussing the “general rule that a defendant may not raise withdrawal as an affirmative defense to a conspiracy charge where no overt act is necessary”). However, a withdrawal instruction may be proper when there is some evidence that a defendant withdrew from a conspiracy before the limiting date.</w:t>
      </w:r>
      <w:r w:rsidR="00A36015">
        <w:rPr>
          <w:rFonts w:ascii="Times New Roman" w:eastAsia="Arial" w:hAnsi="Times New Roman" w:cs="Times New Roman"/>
          <w:sz w:val="26"/>
          <w:szCs w:val="26"/>
        </w:rPr>
        <w:t xml:space="preserve"> </w:t>
      </w:r>
      <w:proofErr w:type="gramStart"/>
      <w:r w:rsidR="00A36015">
        <w:rPr>
          <w:rFonts w:ascii="Times New Roman" w:eastAsia="Arial" w:hAnsi="Times New Roman" w:cs="Times New Roman"/>
          <w:sz w:val="26"/>
          <w:szCs w:val="26"/>
        </w:rPr>
        <w:t>limitations</w:t>
      </w:r>
      <w:proofErr w:type="gramEnd"/>
      <w:r w:rsidR="00A36015">
        <w:rPr>
          <w:rFonts w:ascii="Times New Roman" w:eastAsia="Arial" w:hAnsi="Times New Roman" w:cs="Times New Roman"/>
          <w:sz w:val="26"/>
          <w:szCs w:val="26"/>
        </w:rPr>
        <w:t xml:space="preserve"> period.”)</w:t>
      </w:r>
    </w:p>
    <w:p w:rsidR="00260095" w:rsidRDefault="00260095" w:rsidP="00260095">
      <w:pPr>
        <w:spacing w:after="0" w:line="240" w:lineRule="auto"/>
        <w:jc w:val="both"/>
        <w:rPr>
          <w:rFonts w:ascii="Times New Roman" w:eastAsia="Arial" w:hAnsi="Times New Roman" w:cs="Times New Roman"/>
          <w:sz w:val="26"/>
          <w:szCs w:val="26"/>
        </w:rPr>
      </w:pPr>
    </w:p>
    <w:p w:rsidR="00725167" w:rsidRPr="00260095" w:rsidRDefault="00260095" w:rsidP="00260095">
      <w:pPr>
        <w:spacing w:after="0" w:line="240" w:lineRule="auto"/>
        <w:jc w:val="both"/>
        <w:rPr>
          <w:rFonts w:ascii="Times New Roman" w:eastAsia="Arial" w:hAnsi="Times New Roman" w:cs="Times New Roman"/>
          <w:sz w:val="26"/>
          <w:szCs w:val="26"/>
        </w:rPr>
      </w:pPr>
      <w:r w:rsidRPr="003A41E3">
        <w:rPr>
          <w:rFonts w:ascii="Times New Roman" w:eastAsia="Arial" w:hAnsi="Times New Roman" w:cs="Times New Roman"/>
          <w:sz w:val="26"/>
          <w:szCs w:val="26"/>
        </w:rPr>
        <w:t xml:space="preserve">“[I]f a conspirator establishes the affirmative defense of withdrawal, the statute of limitations will begin to run at the time of withdrawal.” </w:t>
      </w:r>
      <w:r w:rsidRPr="00B52B95">
        <w:rPr>
          <w:rFonts w:ascii="Times New Roman" w:eastAsia="Arial" w:hAnsi="Times New Roman" w:cs="Times New Roman"/>
          <w:i/>
          <w:sz w:val="26"/>
          <w:szCs w:val="26"/>
        </w:rPr>
        <w:t>United States v. Arias</w:t>
      </w:r>
      <w:r w:rsidRPr="003A41E3">
        <w:rPr>
          <w:rFonts w:ascii="Times New Roman" w:eastAsia="Arial" w:hAnsi="Times New Roman" w:cs="Times New Roman"/>
          <w:sz w:val="26"/>
          <w:szCs w:val="26"/>
        </w:rPr>
        <w:t>, 431 F.3d 1327, 1340 (11</w:t>
      </w:r>
      <w:r w:rsidRPr="003A41E3">
        <w:rPr>
          <w:rFonts w:ascii="Times New Roman" w:eastAsia="Arial" w:hAnsi="Times New Roman" w:cs="Times New Roman"/>
          <w:sz w:val="26"/>
          <w:szCs w:val="26"/>
          <w:vertAlign w:val="superscript"/>
        </w:rPr>
        <w:t>th</w:t>
      </w:r>
      <w:r w:rsidRPr="003A41E3">
        <w:rPr>
          <w:rFonts w:ascii="Times New Roman" w:eastAsia="Arial" w:hAnsi="Times New Roman" w:cs="Times New Roman"/>
          <w:sz w:val="26"/>
          <w:szCs w:val="26"/>
        </w:rPr>
        <w:t xml:space="preserve"> Cir. 2005)</w:t>
      </w:r>
      <w:r>
        <w:rPr>
          <w:rFonts w:ascii="Times New Roman" w:eastAsia="Arial" w:hAnsi="Times New Roman" w:cs="Times New Roman"/>
          <w:sz w:val="26"/>
          <w:szCs w:val="26"/>
        </w:rPr>
        <w:t xml:space="preserve">; </w:t>
      </w:r>
      <w:r w:rsidRPr="00B52B95">
        <w:rPr>
          <w:rFonts w:ascii="Times New Roman" w:eastAsia="Arial" w:hAnsi="Times New Roman" w:cs="Times New Roman"/>
          <w:i/>
          <w:sz w:val="26"/>
          <w:szCs w:val="26"/>
        </w:rPr>
        <w:t>see also United States v. Adams</w:t>
      </w:r>
      <w:r>
        <w:rPr>
          <w:rFonts w:ascii="Times New Roman" w:eastAsia="Arial" w:hAnsi="Times New Roman" w:cs="Times New Roman"/>
          <w:sz w:val="26"/>
          <w:szCs w:val="26"/>
        </w:rPr>
        <w:t>, 1 F.3d 1566, 1582 (11</w:t>
      </w:r>
      <w:r w:rsidRPr="003A41E3">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1993) (“For a conspiracy prosecution to be barred by the statute of limitations, the time between the conspiracy’s end, or the defendant’s affirmative withdrawal, and the indictment must be longer than the statutory li</w:t>
      </w:r>
      <w:bookmarkStart w:id="0" w:name="_GoBack"/>
      <w:bookmarkEnd w:id="0"/>
      <w:r>
        <w:rPr>
          <w:rFonts w:ascii="Times New Roman" w:eastAsia="Arial" w:hAnsi="Times New Roman" w:cs="Times New Roman"/>
          <w:sz w:val="26"/>
          <w:szCs w:val="26"/>
        </w:rPr>
        <w:t xml:space="preserve">mitations period.”); </w:t>
      </w:r>
      <w:r w:rsidRPr="00B52B95">
        <w:rPr>
          <w:rFonts w:ascii="Times New Roman" w:eastAsia="Arial" w:hAnsi="Times New Roman" w:cs="Times New Roman"/>
          <w:i/>
          <w:sz w:val="26"/>
          <w:szCs w:val="26"/>
        </w:rPr>
        <w:t>United States v. Reed</w:t>
      </w:r>
      <w:r>
        <w:rPr>
          <w:rFonts w:ascii="Times New Roman" w:eastAsia="Arial" w:hAnsi="Times New Roman" w:cs="Times New Roman"/>
          <w:sz w:val="26"/>
          <w:szCs w:val="26"/>
        </w:rPr>
        <w:t>, 980 F.2d 1568, 1584 (11</w:t>
      </w:r>
      <w:r w:rsidRPr="003A41E3">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1993) (where a defendant withdraws from a conspiracy, “the statute of limitations does not begin to run on a co-conspirator until the final act in furtherance of the conspiracy has occurred or until the co-conspirator withdraws from the conspiracy.”).</w:t>
      </w:r>
    </w:p>
    <w:sectPr w:rsidR="00725167" w:rsidRPr="002600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96E" w:rsidRDefault="00DF596E" w:rsidP="00DF596E">
      <w:pPr>
        <w:spacing w:after="0" w:line="240" w:lineRule="auto"/>
      </w:pPr>
      <w:r>
        <w:separator/>
      </w:r>
    </w:p>
  </w:endnote>
  <w:endnote w:type="continuationSeparator" w:id="0">
    <w:p w:rsidR="00DF596E" w:rsidRDefault="00DF596E" w:rsidP="00DF5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96E" w:rsidRDefault="00DF596E" w:rsidP="00DF596E">
      <w:pPr>
        <w:spacing w:after="0" w:line="240" w:lineRule="auto"/>
      </w:pPr>
      <w:r>
        <w:separator/>
      </w:r>
    </w:p>
  </w:footnote>
  <w:footnote w:type="continuationSeparator" w:id="0">
    <w:p w:rsidR="00DF596E" w:rsidRDefault="00DF596E" w:rsidP="00DF59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0D76D2"/>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2F99"/>
    <w:rsid w:val="002161E7"/>
    <w:rsid w:val="002329BF"/>
    <w:rsid w:val="00233997"/>
    <w:rsid w:val="00236275"/>
    <w:rsid w:val="00245EF2"/>
    <w:rsid w:val="00246533"/>
    <w:rsid w:val="00260095"/>
    <w:rsid w:val="002604B9"/>
    <w:rsid w:val="00290544"/>
    <w:rsid w:val="002B6595"/>
    <w:rsid w:val="002D2202"/>
    <w:rsid w:val="003067A0"/>
    <w:rsid w:val="00314335"/>
    <w:rsid w:val="00321868"/>
    <w:rsid w:val="00367FCA"/>
    <w:rsid w:val="00372806"/>
    <w:rsid w:val="003A75E9"/>
    <w:rsid w:val="003B0729"/>
    <w:rsid w:val="003B09A8"/>
    <w:rsid w:val="003B14B7"/>
    <w:rsid w:val="003C2AB5"/>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F0806"/>
    <w:rsid w:val="00503A01"/>
    <w:rsid w:val="00511CE4"/>
    <w:rsid w:val="00533E75"/>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0CBC"/>
    <w:rsid w:val="007F2C07"/>
    <w:rsid w:val="0080418B"/>
    <w:rsid w:val="00804614"/>
    <w:rsid w:val="0081575C"/>
    <w:rsid w:val="00824AA2"/>
    <w:rsid w:val="00831238"/>
    <w:rsid w:val="00841F17"/>
    <w:rsid w:val="008437FC"/>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0040"/>
    <w:rsid w:val="009F5C1B"/>
    <w:rsid w:val="009F5DAD"/>
    <w:rsid w:val="00A355FD"/>
    <w:rsid w:val="00A36015"/>
    <w:rsid w:val="00A53126"/>
    <w:rsid w:val="00A66EA6"/>
    <w:rsid w:val="00A746F3"/>
    <w:rsid w:val="00A82412"/>
    <w:rsid w:val="00AA01A6"/>
    <w:rsid w:val="00AA4174"/>
    <w:rsid w:val="00AC24E2"/>
    <w:rsid w:val="00AE0F43"/>
    <w:rsid w:val="00AE20D4"/>
    <w:rsid w:val="00AF2C77"/>
    <w:rsid w:val="00B111CD"/>
    <w:rsid w:val="00B11304"/>
    <w:rsid w:val="00B523E6"/>
    <w:rsid w:val="00B52B95"/>
    <w:rsid w:val="00B55CBA"/>
    <w:rsid w:val="00B64F36"/>
    <w:rsid w:val="00B8093D"/>
    <w:rsid w:val="00B83F0B"/>
    <w:rsid w:val="00B85D99"/>
    <w:rsid w:val="00B930F5"/>
    <w:rsid w:val="00BA1F2B"/>
    <w:rsid w:val="00BA6680"/>
    <w:rsid w:val="00BC6D90"/>
    <w:rsid w:val="00BD01A4"/>
    <w:rsid w:val="00BE616A"/>
    <w:rsid w:val="00BE645C"/>
    <w:rsid w:val="00BF3DBF"/>
    <w:rsid w:val="00C1091D"/>
    <w:rsid w:val="00C60792"/>
    <w:rsid w:val="00C6290E"/>
    <w:rsid w:val="00C83E88"/>
    <w:rsid w:val="00CA3187"/>
    <w:rsid w:val="00CA4FB6"/>
    <w:rsid w:val="00CB4D2A"/>
    <w:rsid w:val="00CC4195"/>
    <w:rsid w:val="00CC4FBE"/>
    <w:rsid w:val="00CD2013"/>
    <w:rsid w:val="00CD51F7"/>
    <w:rsid w:val="00CD734E"/>
    <w:rsid w:val="00CE7DC5"/>
    <w:rsid w:val="00CF4E02"/>
    <w:rsid w:val="00CF4F9A"/>
    <w:rsid w:val="00D163A7"/>
    <w:rsid w:val="00D513C4"/>
    <w:rsid w:val="00D7262F"/>
    <w:rsid w:val="00DA00D9"/>
    <w:rsid w:val="00DC18AE"/>
    <w:rsid w:val="00DC4B82"/>
    <w:rsid w:val="00DE06FC"/>
    <w:rsid w:val="00DE55A6"/>
    <w:rsid w:val="00DE7A65"/>
    <w:rsid w:val="00DE7E97"/>
    <w:rsid w:val="00DE7F68"/>
    <w:rsid w:val="00DF596E"/>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D63AA"/>
    <w:rsid w:val="00EF1AED"/>
    <w:rsid w:val="00F20C0B"/>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DF5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596E"/>
  </w:style>
  <w:style w:type="paragraph" w:styleId="Footer">
    <w:name w:val="footer"/>
    <w:basedOn w:val="Normal"/>
    <w:link w:val="FooterChar"/>
    <w:uiPriority w:val="99"/>
    <w:unhideWhenUsed/>
    <w:rsid w:val="00DF59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59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DF5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596E"/>
  </w:style>
  <w:style w:type="paragraph" w:styleId="Footer">
    <w:name w:val="footer"/>
    <w:basedOn w:val="Normal"/>
    <w:link w:val="FooterChar"/>
    <w:uiPriority w:val="99"/>
    <w:unhideWhenUsed/>
    <w:rsid w:val="00DF59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5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2014-03-31T21:58:00Z</dcterms:created>
  <dcterms:modified xsi:type="dcterms:W3CDTF">2014-06-17T00:26:00Z</dcterms:modified>
</cp:coreProperties>
</file>