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BF2" w:rsidRDefault="004D4BF2" w:rsidP="004D4BF2">
      <w:pPr>
        <w:spacing w:after="0" w:line="240" w:lineRule="auto"/>
        <w:jc w:val="both"/>
        <w:rPr>
          <w:rFonts w:ascii="Times New Roman" w:eastAsia="Arial" w:hAnsi="Times New Roman"/>
          <w:sz w:val="26"/>
          <w:szCs w:val="26"/>
        </w:rPr>
      </w:pPr>
      <w:bookmarkStart w:id="0" w:name="_GoBack"/>
      <w:bookmarkEnd w:id="0"/>
      <w:r>
        <w:rPr>
          <w:rFonts w:ascii="Times New Roman" w:eastAsia="Arial" w:hAnsi="Times New Roman"/>
          <w:b/>
          <w:sz w:val="26"/>
          <w:szCs w:val="26"/>
          <w:u w:val="single"/>
        </w:rPr>
        <w:t>ANNOTATIONS AND COMMENTS</w:t>
      </w:r>
    </w:p>
    <w:p w:rsidR="004D4BF2" w:rsidRDefault="004D4BF2" w:rsidP="004D4BF2">
      <w:pPr>
        <w:spacing w:after="0" w:line="240" w:lineRule="auto"/>
        <w:jc w:val="both"/>
        <w:rPr>
          <w:rFonts w:ascii="Times New Roman" w:eastAsia="Arial" w:hAnsi="Times New Roman"/>
          <w:sz w:val="26"/>
          <w:szCs w:val="26"/>
        </w:rPr>
      </w:pPr>
    </w:p>
    <w:p w:rsidR="004D4BF2" w:rsidRDefault="004D4BF2" w:rsidP="004D4BF2">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21 U.S.C. </w:t>
      </w:r>
      <w:r>
        <w:rPr>
          <w:rFonts w:ascii="Times New Roman" w:eastAsia="Arial" w:hAnsi="Times New Roman" w:cs="Times New Roman"/>
          <w:sz w:val="26"/>
          <w:szCs w:val="26"/>
        </w:rPr>
        <w:t>§</w:t>
      </w:r>
      <w:r>
        <w:rPr>
          <w:rFonts w:ascii="Times New Roman" w:eastAsia="Arial" w:hAnsi="Times New Roman"/>
          <w:sz w:val="26"/>
          <w:szCs w:val="26"/>
        </w:rPr>
        <w:t xml:space="preserve"> 848</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numberingChange w:id="1" w:author="Author" w:original="(c)"/>
        </w:fldChar>
      </w:r>
      <w:r>
        <w:rPr>
          <w:rFonts w:ascii="Times New Roman" w:eastAsia="Arial" w:hAnsi="Times New Roman"/>
          <w:sz w:val="26"/>
          <w:szCs w:val="26"/>
        </w:rPr>
        <w:t xml:space="preserve"> </w:t>
      </w:r>
      <w:proofErr w:type="gramStart"/>
      <w:r>
        <w:rPr>
          <w:rFonts w:ascii="Times New Roman" w:eastAsia="Arial" w:hAnsi="Times New Roman"/>
          <w:sz w:val="26"/>
          <w:szCs w:val="26"/>
        </w:rPr>
        <w:t>provides</w:t>
      </w:r>
      <w:proofErr w:type="gramEnd"/>
      <w:r>
        <w:rPr>
          <w:rFonts w:ascii="Times New Roman" w:eastAsia="Arial" w:hAnsi="Times New Roman"/>
          <w:sz w:val="26"/>
          <w:szCs w:val="26"/>
        </w:rPr>
        <w:t>:</w:t>
      </w:r>
    </w:p>
    <w:p w:rsidR="004D4BF2" w:rsidRDefault="004D4BF2" w:rsidP="004D4BF2">
      <w:pPr>
        <w:spacing w:after="0" w:line="240" w:lineRule="auto"/>
        <w:jc w:val="both"/>
        <w:rPr>
          <w:rFonts w:ascii="Times New Roman" w:eastAsia="Arial" w:hAnsi="Times New Roman"/>
          <w:sz w:val="26"/>
          <w:szCs w:val="26"/>
        </w:rPr>
      </w:pPr>
    </w:p>
    <w:p w:rsidR="004D4BF2" w:rsidRDefault="004D4BF2" w:rsidP="004D4BF2">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 xml:space="preserve">… </w:t>
      </w:r>
      <w:proofErr w:type="gramStart"/>
      <w:r>
        <w:rPr>
          <w:rFonts w:ascii="Times New Roman" w:eastAsia="Arial" w:hAnsi="Times New Roman"/>
          <w:sz w:val="26"/>
          <w:szCs w:val="26"/>
        </w:rPr>
        <w:t>a</w:t>
      </w:r>
      <w:proofErr w:type="gramEnd"/>
      <w:r>
        <w:rPr>
          <w:rFonts w:ascii="Times New Roman" w:eastAsia="Arial" w:hAnsi="Times New Roman"/>
          <w:sz w:val="26"/>
          <w:szCs w:val="26"/>
        </w:rPr>
        <w:t xml:space="preserve"> person is engaged in a continuing criminal enterprise if</w:t>
      </w:r>
    </w:p>
    <w:p w:rsidR="004D4BF2" w:rsidRDefault="004D4BF2" w:rsidP="004D4BF2">
      <w:pPr>
        <w:spacing w:after="0" w:line="240" w:lineRule="auto"/>
        <w:ind w:left="360" w:right="360" w:firstLine="360"/>
        <w:jc w:val="both"/>
        <w:rPr>
          <w:rFonts w:ascii="Times New Roman" w:eastAsia="Arial" w:hAnsi="Times New Roman"/>
          <w:sz w:val="26"/>
          <w:szCs w:val="26"/>
        </w:rPr>
      </w:pPr>
    </w:p>
    <w:p w:rsidR="004D4BF2" w:rsidRDefault="004D4BF2" w:rsidP="004D4BF2">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numberingChange w:id="2" w:author="Author" w:original="(1)"/>
        </w:fldChar>
      </w:r>
      <w:r>
        <w:rPr>
          <w:rFonts w:ascii="Times New Roman" w:eastAsia="Arial" w:hAnsi="Times New Roman"/>
          <w:sz w:val="26"/>
          <w:szCs w:val="26"/>
        </w:rPr>
        <w:t xml:space="preserve"> </w:t>
      </w:r>
      <w:proofErr w:type="gramStart"/>
      <w:r>
        <w:rPr>
          <w:rFonts w:ascii="Times New Roman" w:eastAsia="Arial" w:hAnsi="Times New Roman"/>
          <w:sz w:val="26"/>
          <w:szCs w:val="26"/>
        </w:rPr>
        <w:t>he</w:t>
      </w:r>
      <w:proofErr w:type="gramEnd"/>
      <w:r>
        <w:rPr>
          <w:rFonts w:ascii="Times New Roman" w:eastAsia="Arial" w:hAnsi="Times New Roman"/>
          <w:sz w:val="26"/>
          <w:szCs w:val="26"/>
        </w:rPr>
        <w:t xml:space="preserve"> violates any provision of [sections 801 through 966] the punishment for which is a felony, and</w:t>
      </w:r>
    </w:p>
    <w:p w:rsidR="004D4BF2" w:rsidRDefault="004D4BF2" w:rsidP="004D4BF2">
      <w:pPr>
        <w:spacing w:after="0" w:line="240" w:lineRule="auto"/>
        <w:ind w:left="720" w:right="720" w:firstLine="360"/>
        <w:jc w:val="both"/>
        <w:rPr>
          <w:rFonts w:ascii="Times New Roman" w:eastAsia="Arial" w:hAnsi="Times New Roman"/>
          <w:sz w:val="26"/>
          <w:szCs w:val="26"/>
        </w:rPr>
      </w:pPr>
    </w:p>
    <w:p w:rsidR="004D4BF2" w:rsidRDefault="004D4BF2" w:rsidP="004D4BF2">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numberingChange w:id="3" w:author="Author" w:original="(2)"/>
        </w:fldChar>
      </w:r>
      <w:r>
        <w:rPr>
          <w:rFonts w:ascii="Times New Roman" w:eastAsia="Arial" w:hAnsi="Times New Roman"/>
          <w:sz w:val="26"/>
          <w:szCs w:val="26"/>
        </w:rPr>
        <w:t xml:space="preserve"> </w:t>
      </w:r>
      <w:proofErr w:type="gramStart"/>
      <w:r>
        <w:rPr>
          <w:rFonts w:ascii="Times New Roman" w:eastAsia="Arial" w:hAnsi="Times New Roman"/>
          <w:sz w:val="26"/>
          <w:szCs w:val="26"/>
        </w:rPr>
        <w:t>such</w:t>
      </w:r>
      <w:proofErr w:type="gramEnd"/>
      <w:r>
        <w:rPr>
          <w:rFonts w:ascii="Times New Roman" w:eastAsia="Arial" w:hAnsi="Times New Roman"/>
          <w:sz w:val="26"/>
          <w:szCs w:val="26"/>
        </w:rPr>
        <w:t xml:space="preserve"> violation is a part of a continuing series of violations of [sections 801 through 966]</w:t>
      </w:r>
    </w:p>
    <w:p w:rsidR="004D4BF2" w:rsidRDefault="004D4BF2" w:rsidP="004D4BF2">
      <w:pPr>
        <w:spacing w:after="0" w:line="240" w:lineRule="auto"/>
        <w:ind w:left="720" w:right="720" w:firstLine="360"/>
        <w:jc w:val="both"/>
        <w:rPr>
          <w:rFonts w:ascii="Times New Roman" w:eastAsia="Arial" w:hAnsi="Times New Roman"/>
          <w:sz w:val="26"/>
          <w:szCs w:val="26"/>
        </w:rPr>
      </w:pPr>
    </w:p>
    <w:p w:rsidR="004D4BF2" w:rsidRDefault="004D4BF2" w:rsidP="004D4BF2">
      <w:pPr>
        <w:spacing w:after="0" w:line="240" w:lineRule="auto"/>
        <w:ind w:left="1080" w:right="1080" w:firstLine="360"/>
        <w:jc w:val="both"/>
        <w:rPr>
          <w:rFonts w:ascii="Times New Roman" w:eastAsia="Arial" w:hAnsi="Times New Roman"/>
          <w:sz w:val="26"/>
          <w:szCs w:val="26"/>
        </w:rPr>
      </w:pPr>
      <w:r w:rsidRPr="00D71380">
        <w:rPr>
          <w:rFonts w:ascii="Times New Roman" w:eastAsia="Arial" w:hAnsi="Times New Roman"/>
          <w:sz w:val="26"/>
          <w:szCs w:val="26"/>
        </w:rPr>
        <w:t>(A</w:t>
      </w:r>
      <w:r>
        <w:rPr>
          <w:rFonts w:ascii="Times New Roman" w:eastAsia="Arial" w:hAnsi="Times New Roman"/>
          <w:sz w:val="26"/>
          <w:szCs w:val="26"/>
        </w:rPr>
        <w:t xml:space="preserve">) </w:t>
      </w:r>
      <w:r w:rsidRPr="00D71380">
        <w:rPr>
          <w:rFonts w:ascii="Times New Roman" w:eastAsia="Arial" w:hAnsi="Times New Roman"/>
          <w:sz w:val="26"/>
          <w:szCs w:val="26"/>
        </w:rPr>
        <w:t>which are undertaken by such person in concert with five or more other persons with respect to whom such person occupies a position of organizer, a supervisory position, or any other position of management, and</w:t>
      </w:r>
    </w:p>
    <w:p w:rsidR="004D4BF2" w:rsidRDefault="004D4BF2" w:rsidP="004D4BF2">
      <w:pPr>
        <w:spacing w:after="0" w:line="240" w:lineRule="auto"/>
        <w:ind w:left="720" w:right="720" w:firstLine="360"/>
        <w:jc w:val="both"/>
        <w:rPr>
          <w:rFonts w:ascii="Times New Roman" w:eastAsia="Arial" w:hAnsi="Times New Roman"/>
          <w:sz w:val="26"/>
          <w:szCs w:val="26"/>
        </w:rPr>
      </w:pPr>
    </w:p>
    <w:p w:rsidR="004D4BF2" w:rsidRDefault="004D4BF2" w:rsidP="004D4BF2">
      <w:pPr>
        <w:spacing w:after="0" w:line="240" w:lineRule="auto"/>
        <w:ind w:left="1080" w:right="1080" w:firstLine="360"/>
        <w:jc w:val="both"/>
        <w:rPr>
          <w:rFonts w:ascii="Times New Roman" w:eastAsia="Arial" w:hAnsi="Times New Roman"/>
          <w:sz w:val="26"/>
          <w:szCs w:val="26"/>
        </w:rPr>
      </w:pPr>
      <w:r w:rsidRPr="00D71380">
        <w:rPr>
          <w:rFonts w:ascii="Times New Roman" w:eastAsia="Arial" w:hAnsi="Times New Roman"/>
          <w:sz w:val="26"/>
          <w:szCs w:val="26"/>
        </w:rPr>
        <w:t>(</w:t>
      </w:r>
      <w:r>
        <w:rPr>
          <w:rFonts w:ascii="Times New Roman" w:eastAsia="Arial" w:hAnsi="Times New Roman"/>
          <w:sz w:val="26"/>
          <w:szCs w:val="26"/>
        </w:rPr>
        <w:t xml:space="preserve">B) </w:t>
      </w:r>
      <w:proofErr w:type="gramStart"/>
      <w:r>
        <w:rPr>
          <w:rFonts w:ascii="Times New Roman" w:eastAsia="Arial" w:hAnsi="Times New Roman"/>
          <w:sz w:val="26"/>
          <w:szCs w:val="26"/>
        </w:rPr>
        <w:t>from</w:t>
      </w:r>
      <w:proofErr w:type="gramEnd"/>
      <w:r>
        <w:rPr>
          <w:rFonts w:ascii="Times New Roman" w:eastAsia="Arial" w:hAnsi="Times New Roman"/>
          <w:sz w:val="26"/>
          <w:szCs w:val="26"/>
        </w:rPr>
        <w:t xml:space="preserve"> which such person obtains substantial income or resources.</w:t>
      </w:r>
    </w:p>
    <w:p w:rsidR="004D4BF2" w:rsidRDefault="004D4BF2" w:rsidP="004D4BF2">
      <w:pPr>
        <w:spacing w:after="0" w:line="240" w:lineRule="auto"/>
        <w:jc w:val="both"/>
        <w:rPr>
          <w:rFonts w:ascii="Times New Roman" w:eastAsia="Arial" w:hAnsi="Times New Roman" w:cs="Times New Roman"/>
          <w:sz w:val="26"/>
          <w:szCs w:val="26"/>
        </w:rPr>
      </w:pPr>
    </w:p>
    <w:p w:rsidR="004D4BF2" w:rsidRDefault="004D4BF2" w:rsidP="003543E0">
      <w:pPr>
        <w:spacing w:after="0" w:line="240" w:lineRule="auto"/>
        <w:ind w:left="2203" w:hanging="2203"/>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Not less than thirty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30 </w:instrText>
      </w:r>
      <w:r>
        <w:rPr>
          <w:rFonts w:ascii="Times New Roman" w:eastAsia="Arial" w:hAnsi="Times New Roman" w:cs="Times New Roman"/>
          <w:sz w:val="26"/>
          <w:szCs w:val="26"/>
        </w:rPr>
        <w:fldChar w:fldCharType="end">
          <w:numberingChange w:id="4" w:author="Author" w:original="(30)"/>
        </w:fldChar>
      </w:r>
      <w:r>
        <w:rPr>
          <w:rFonts w:ascii="Times New Roman" w:eastAsia="Arial" w:hAnsi="Times New Roman" w:cs="Times New Roman"/>
          <w:sz w:val="26"/>
          <w:szCs w:val="26"/>
        </w:rPr>
        <w:t xml:space="preserve"> years and up to life imprisonment, and applicable fine.</w:t>
      </w:r>
    </w:p>
    <w:p w:rsidR="004D4BF2" w:rsidRDefault="004D4BF2" w:rsidP="004D4BF2">
      <w:pPr>
        <w:spacing w:after="0" w:line="240" w:lineRule="auto"/>
        <w:jc w:val="both"/>
        <w:rPr>
          <w:rFonts w:ascii="Times New Roman" w:eastAsia="Arial" w:hAnsi="Times New Roman" w:cs="Times New Roman"/>
          <w:sz w:val="26"/>
          <w:szCs w:val="26"/>
        </w:rPr>
      </w:pPr>
    </w:p>
    <w:p w:rsidR="004D4BF2" w:rsidRDefault="004D4BF2" w:rsidP="004D4BF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Government must prove at least three felony narcotics violations to establish a continuing series of violations. </w:t>
      </w:r>
      <w:r w:rsidRPr="002A3C0B">
        <w:rPr>
          <w:rFonts w:ascii="Times New Roman" w:eastAsia="Arial" w:hAnsi="Times New Roman" w:cs="Times New Roman"/>
          <w:i/>
          <w:sz w:val="26"/>
          <w:szCs w:val="26"/>
        </w:rPr>
        <w:t>Ross v. United States</w:t>
      </w:r>
      <w:r>
        <w:rPr>
          <w:rFonts w:ascii="Times New Roman" w:eastAsia="Arial" w:hAnsi="Times New Roman" w:cs="Times New Roman"/>
          <w:sz w:val="26"/>
          <w:szCs w:val="26"/>
        </w:rPr>
        <w:t>, 289 F.3d 677, 683 (11</w:t>
      </w:r>
      <w:r w:rsidRPr="00D71380">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2002), </w:t>
      </w:r>
      <w:r w:rsidRPr="002A3C0B">
        <w:rPr>
          <w:rFonts w:ascii="Times New Roman" w:eastAsia="Arial" w:hAnsi="Times New Roman" w:cs="Times New Roman"/>
          <w:i/>
          <w:sz w:val="26"/>
          <w:szCs w:val="26"/>
        </w:rPr>
        <w:t>cert. denied</w:t>
      </w:r>
      <w:r>
        <w:rPr>
          <w:rFonts w:ascii="Times New Roman" w:eastAsia="Arial" w:hAnsi="Times New Roman" w:cs="Times New Roman"/>
          <w:sz w:val="26"/>
          <w:szCs w:val="26"/>
        </w:rPr>
        <w:t xml:space="preserve">, 537 U.S. 1113 (2003); </w:t>
      </w:r>
      <w:r w:rsidRPr="002A3C0B">
        <w:rPr>
          <w:rFonts w:ascii="Times New Roman" w:eastAsia="Arial" w:hAnsi="Times New Roman" w:cs="Times New Roman"/>
          <w:i/>
          <w:sz w:val="26"/>
          <w:szCs w:val="26"/>
        </w:rPr>
        <w:t>United States v. Alvarez-Moreno</w:t>
      </w:r>
      <w:r>
        <w:rPr>
          <w:rFonts w:ascii="Times New Roman" w:eastAsia="Arial" w:hAnsi="Times New Roman" w:cs="Times New Roman"/>
          <w:sz w:val="26"/>
          <w:szCs w:val="26"/>
        </w:rPr>
        <w:t>, 874 F.2d 1402, 140809 (11</w:t>
      </w:r>
      <w:r w:rsidRPr="00D71380">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1989), </w:t>
      </w:r>
      <w:r w:rsidRPr="002A3C0B">
        <w:rPr>
          <w:rFonts w:ascii="Times New Roman" w:eastAsia="Arial" w:hAnsi="Times New Roman" w:cs="Times New Roman"/>
          <w:i/>
          <w:sz w:val="26"/>
          <w:szCs w:val="26"/>
        </w:rPr>
        <w:t>cert. denied</w:t>
      </w:r>
      <w:r>
        <w:rPr>
          <w:rFonts w:ascii="Times New Roman" w:eastAsia="Arial" w:hAnsi="Times New Roman" w:cs="Times New Roman"/>
          <w:sz w:val="26"/>
          <w:szCs w:val="26"/>
        </w:rPr>
        <w:t>, 494 U.S. 1032 (1990).</w:t>
      </w:r>
    </w:p>
    <w:p w:rsidR="004D4BF2" w:rsidRDefault="004D4BF2" w:rsidP="004D4BF2">
      <w:pPr>
        <w:spacing w:after="0" w:line="240" w:lineRule="auto"/>
        <w:jc w:val="both"/>
        <w:rPr>
          <w:rFonts w:ascii="Times New Roman" w:eastAsia="Arial" w:hAnsi="Times New Roman" w:cs="Times New Roman"/>
          <w:sz w:val="26"/>
          <w:szCs w:val="26"/>
        </w:rPr>
      </w:pPr>
    </w:p>
    <w:p w:rsidR="004D4BF2" w:rsidRDefault="004D4BF2" w:rsidP="004D4BF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jury “must agree unanimously about </w:t>
      </w:r>
      <w:r>
        <w:rPr>
          <w:rFonts w:ascii="Times New Roman" w:eastAsia="Arial" w:hAnsi="Times New Roman" w:cs="Times New Roman"/>
          <w:sz w:val="26"/>
          <w:szCs w:val="26"/>
          <w:u w:val="single"/>
        </w:rPr>
        <w:t>which</w:t>
      </w:r>
      <w:r>
        <w:rPr>
          <w:rFonts w:ascii="Times New Roman" w:eastAsia="Arial" w:hAnsi="Times New Roman" w:cs="Times New Roman"/>
          <w:sz w:val="26"/>
          <w:szCs w:val="26"/>
        </w:rPr>
        <w:t xml:space="preserve"> three crimes the defendant committed.” </w:t>
      </w:r>
      <w:r w:rsidRPr="002A3C0B">
        <w:rPr>
          <w:rFonts w:ascii="Times New Roman" w:eastAsia="Arial" w:hAnsi="Times New Roman" w:cs="Times New Roman"/>
          <w:i/>
          <w:sz w:val="26"/>
          <w:szCs w:val="26"/>
        </w:rPr>
        <w:t>Richardson v. United States</w:t>
      </w:r>
      <w:r>
        <w:rPr>
          <w:rFonts w:ascii="Times New Roman" w:eastAsia="Arial" w:hAnsi="Times New Roman" w:cs="Times New Roman"/>
          <w:sz w:val="26"/>
          <w:szCs w:val="26"/>
        </w:rPr>
        <w:t xml:space="preserve">, 526 U.S. 813, 818 (1999) (emphasis added); </w:t>
      </w:r>
      <w:r w:rsidRPr="002A3C0B">
        <w:rPr>
          <w:rFonts w:ascii="Times New Roman" w:eastAsia="Arial" w:hAnsi="Times New Roman" w:cs="Times New Roman"/>
          <w:i/>
          <w:sz w:val="26"/>
          <w:szCs w:val="26"/>
        </w:rPr>
        <w:t>Ross v. United States</w:t>
      </w:r>
      <w:r>
        <w:rPr>
          <w:rFonts w:ascii="Times New Roman" w:eastAsia="Arial" w:hAnsi="Times New Roman" w:cs="Times New Roman"/>
          <w:sz w:val="26"/>
          <w:szCs w:val="26"/>
        </w:rPr>
        <w:t>, 289 F.3d 677, 683 (11</w:t>
      </w:r>
      <w:r w:rsidRPr="003F1963">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2002).</w:t>
      </w:r>
    </w:p>
    <w:p w:rsidR="004D4BF2" w:rsidRDefault="004D4BF2" w:rsidP="004D4BF2">
      <w:pPr>
        <w:spacing w:after="0" w:line="240" w:lineRule="auto"/>
        <w:jc w:val="both"/>
        <w:rPr>
          <w:rFonts w:ascii="Times New Roman" w:eastAsia="Arial" w:hAnsi="Times New Roman" w:cs="Times New Roman"/>
          <w:sz w:val="26"/>
          <w:szCs w:val="26"/>
        </w:rPr>
      </w:pPr>
    </w:p>
    <w:p w:rsidR="004D4BF2" w:rsidRDefault="004D4BF2" w:rsidP="004D4BF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Failure to instruct on the </w:t>
      </w:r>
      <w:r w:rsidRPr="002A3C0B">
        <w:rPr>
          <w:rFonts w:ascii="Times New Roman" w:eastAsia="Arial" w:hAnsi="Times New Roman" w:cs="Times New Roman"/>
          <w:i/>
          <w:sz w:val="26"/>
          <w:szCs w:val="26"/>
        </w:rPr>
        <w:t>Richardson</w:t>
      </w:r>
      <w:r>
        <w:rPr>
          <w:rFonts w:ascii="Times New Roman" w:eastAsia="Arial" w:hAnsi="Times New Roman" w:cs="Times New Roman"/>
          <w:sz w:val="26"/>
          <w:szCs w:val="26"/>
        </w:rPr>
        <w:t xml:space="preserve"> unanimity requirement has been held to be harmless error unless the failure to give the instruction had a “substantial and injurious effect or influence in determining the jury’s verdict.” </w:t>
      </w:r>
      <w:r w:rsidRPr="002A3C0B">
        <w:rPr>
          <w:rFonts w:ascii="Times New Roman" w:eastAsia="Arial" w:hAnsi="Times New Roman" w:cs="Times New Roman"/>
          <w:i/>
          <w:sz w:val="26"/>
          <w:szCs w:val="26"/>
        </w:rPr>
        <w:t>Ross v. United States</w:t>
      </w:r>
      <w:r>
        <w:rPr>
          <w:rFonts w:ascii="Times New Roman" w:eastAsia="Arial" w:hAnsi="Times New Roman" w:cs="Times New Roman"/>
          <w:sz w:val="26"/>
          <w:szCs w:val="26"/>
        </w:rPr>
        <w:t>, 289 F.3d 677, 683 (11</w:t>
      </w:r>
      <w:r w:rsidRPr="003F1963">
        <w:rPr>
          <w:rFonts w:ascii="Times New Roman" w:eastAsia="Arial" w:hAnsi="Times New Roman" w:cs="Times New Roman"/>
          <w:sz w:val="26"/>
          <w:szCs w:val="26"/>
          <w:vertAlign w:val="superscript"/>
        </w:rPr>
        <w:t>th</w:t>
      </w:r>
      <w:r w:rsidR="003543E0">
        <w:rPr>
          <w:rFonts w:ascii="Times New Roman" w:eastAsia="Arial" w:hAnsi="Times New Roman" w:cs="Times New Roman"/>
          <w:sz w:val="26"/>
          <w:szCs w:val="26"/>
        </w:rPr>
        <w:t xml:space="preserve"> Cir. 2002)</w:t>
      </w:r>
    </w:p>
    <w:p w:rsidR="004D4BF2" w:rsidRDefault="004D4BF2" w:rsidP="004D4BF2">
      <w:pPr>
        <w:spacing w:after="0" w:line="240" w:lineRule="auto"/>
        <w:jc w:val="both"/>
        <w:rPr>
          <w:rFonts w:ascii="Times New Roman" w:eastAsia="Arial" w:hAnsi="Times New Roman" w:cs="Times New Roman"/>
          <w:sz w:val="26"/>
          <w:szCs w:val="26"/>
        </w:rPr>
      </w:pPr>
    </w:p>
    <w:p w:rsidR="004D4BF2" w:rsidRDefault="004D4BF2" w:rsidP="004D4BF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How “related” must the three violations </w:t>
      </w:r>
      <w:proofErr w:type="gramStart"/>
      <w:r>
        <w:rPr>
          <w:rFonts w:ascii="Times New Roman" w:eastAsia="Arial" w:hAnsi="Times New Roman" w:cs="Times New Roman"/>
          <w:sz w:val="26"/>
          <w:szCs w:val="26"/>
        </w:rPr>
        <w:t>be</w:t>
      </w:r>
      <w:proofErr w:type="gramEnd"/>
      <w:r>
        <w:rPr>
          <w:rFonts w:ascii="Times New Roman" w:eastAsia="Arial" w:hAnsi="Times New Roman" w:cs="Times New Roman"/>
          <w:sz w:val="26"/>
          <w:szCs w:val="26"/>
        </w:rPr>
        <w:t xml:space="preserve">? </w:t>
      </w:r>
      <w:r w:rsidRPr="002A3C0B">
        <w:rPr>
          <w:rFonts w:ascii="Times New Roman" w:eastAsia="Arial" w:hAnsi="Times New Roman" w:cs="Times New Roman"/>
          <w:i/>
          <w:sz w:val="26"/>
          <w:szCs w:val="26"/>
        </w:rPr>
        <w:t xml:space="preserve">See United States v. </w:t>
      </w:r>
      <w:proofErr w:type="spellStart"/>
      <w:r w:rsidRPr="002A3C0B">
        <w:rPr>
          <w:rFonts w:ascii="Times New Roman" w:eastAsia="Arial" w:hAnsi="Times New Roman" w:cs="Times New Roman"/>
          <w:i/>
          <w:sz w:val="26"/>
          <w:szCs w:val="26"/>
        </w:rPr>
        <w:t>Maull</w:t>
      </w:r>
      <w:proofErr w:type="spellEnd"/>
      <w:r>
        <w:rPr>
          <w:rFonts w:ascii="Times New Roman" w:eastAsia="Arial" w:hAnsi="Times New Roman" w:cs="Times New Roman"/>
          <w:sz w:val="26"/>
          <w:szCs w:val="26"/>
        </w:rPr>
        <w:t>, 806 F.2d 1342-43 (8</w:t>
      </w:r>
      <w:r w:rsidRPr="003F1963">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1986) (“A continuing offense is a continuous illegal act or series of acts driven by a single impulse and operated </w:t>
      </w:r>
      <w:r w:rsidR="003543E0">
        <w:rPr>
          <w:rFonts w:ascii="Times New Roman" w:eastAsia="Arial" w:hAnsi="Times New Roman" w:cs="Times New Roman"/>
          <w:sz w:val="26"/>
          <w:szCs w:val="26"/>
        </w:rPr>
        <w:t xml:space="preserve">by an </w:t>
      </w:r>
      <w:proofErr w:type="spellStart"/>
      <w:r w:rsidR="003543E0">
        <w:rPr>
          <w:rFonts w:ascii="Times New Roman" w:eastAsia="Arial" w:hAnsi="Times New Roman" w:cs="Times New Roman"/>
          <w:sz w:val="26"/>
          <w:szCs w:val="26"/>
        </w:rPr>
        <w:t>unintermittent</w:t>
      </w:r>
      <w:proofErr w:type="spellEnd"/>
      <w:r w:rsidR="003543E0">
        <w:rPr>
          <w:rFonts w:ascii="Times New Roman" w:eastAsia="Arial" w:hAnsi="Times New Roman" w:cs="Times New Roman"/>
          <w:sz w:val="26"/>
          <w:szCs w:val="26"/>
        </w:rPr>
        <w:t xml:space="preserve"> force.”). </w:t>
      </w:r>
      <w:proofErr w:type="gramStart"/>
      <w:r>
        <w:rPr>
          <w:rFonts w:ascii="Times New Roman" w:eastAsia="Arial" w:hAnsi="Times New Roman" w:cs="Times New Roman"/>
          <w:sz w:val="26"/>
          <w:szCs w:val="26"/>
        </w:rPr>
        <w:t>7</w:t>
      </w:r>
      <w:r w:rsidRPr="003F1963">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1990), cited in 2B Fed.</w:t>
      </w:r>
      <w:proofErr w:type="gramEnd"/>
      <w:r>
        <w:rPr>
          <w:rFonts w:ascii="Times New Roman" w:eastAsia="Arial" w:hAnsi="Times New Roman" w:cs="Times New Roman"/>
          <w:sz w:val="26"/>
          <w:szCs w:val="26"/>
        </w:rPr>
        <w:t xml:space="preserve"> </w:t>
      </w:r>
      <w:proofErr w:type="gramStart"/>
      <w:r>
        <w:rPr>
          <w:rFonts w:ascii="Times New Roman" w:eastAsia="Arial" w:hAnsi="Times New Roman" w:cs="Times New Roman"/>
          <w:sz w:val="26"/>
          <w:szCs w:val="26"/>
        </w:rPr>
        <w:t xml:space="preserve">Jury </w:t>
      </w:r>
      <w:proofErr w:type="spellStart"/>
      <w:r>
        <w:rPr>
          <w:rFonts w:ascii="Times New Roman" w:eastAsia="Arial" w:hAnsi="Times New Roman" w:cs="Times New Roman"/>
          <w:sz w:val="26"/>
          <w:szCs w:val="26"/>
        </w:rPr>
        <w:t>Prac</w:t>
      </w:r>
      <w:proofErr w:type="spellEnd"/>
      <w:r>
        <w:rPr>
          <w:rFonts w:ascii="Times New Roman" w:eastAsia="Arial" w:hAnsi="Times New Roman" w:cs="Times New Roman"/>
          <w:sz w:val="26"/>
          <w:szCs w:val="26"/>
        </w:rPr>
        <w:t>.</w:t>
      </w:r>
      <w:proofErr w:type="gramEnd"/>
      <w:r>
        <w:rPr>
          <w:rFonts w:ascii="Times New Roman" w:eastAsia="Arial" w:hAnsi="Times New Roman" w:cs="Times New Roman"/>
          <w:sz w:val="26"/>
          <w:szCs w:val="26"/>
        </w:rPr>
        <w:t xml:space="preserve"> </w:t>
      </w:r>
      <w:proofErr w:type="gramStart"/>
      <w:r>
        <w:rPr>
          <w:rFonts w:ascii="Times New Roman" w:eastAsia="Arial" w:hAnsi="Times New Roman" w:cs="Times New Roman"/>
          <w:sz w:val="26"/>
          <w:szCs w:val="26"/>
        </w:rPr>
        <w:t>&amp; Instr. § 66.05 (5</w:t>
      </w:r>
      <w:r w:rsidRPr="003F1963">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ed. 2000).</w:t>
      </w:r>
      <w:proofErr w:type="gramEnd"/>
    </w:p>
    <w:p w:rsidR="004D4BF2" w:rsidRDefault="004D4BF2" w:rsidP="004D4BF2">
      <w:pPr>
        <w:spacing w:after="0" w:line="240" w:lineRule="auto"/>
        <w:jc w:val="both"/>
        <w:rPr>
          <w:rFonts w:ascii="Times New Roman" w:eastAsia="Arial" w:hAnsi="Times New Roman" w:cs="Times New Roman"/>
          <w:sz w:val="26"/>
          <w:szCs w:val="26"/>
        </w:rPr>
      </w:pPr>
    </w:p>
    <w:p w:rsidR="004D4BF2" w:rsidRDefault="004D4BF2" w:rsidP="004D4BF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In any event, the use of unindicted offenses is permissible in obtaining a conviction under </w:t>
      </w:r>
      <w:r>
        <w:rPr>
          <w:rFonts w:ascii="Times New Roman" w:eastAsia="Arial" w:hAnsi="Times New Roman" w:cs="Times New Roman"/>
          <w:sz w:val="26"/>
          <w:szCs w:val="26"/>
        </w:rPr>
        <w:lastRenderedPageBreak/>
        <w:t xml:space="preserve">§ 848. The violations need not be charged or even set forth as predicate acts in the indictment. Hence, the law only requires evidence that the defendant committed three substantive offenses to provide the predicate for a § 848 violation, regardless of whether such offenses were charged in counts of the indictment or in separate indictments. What is important is proof that there was indeed a </w:t>
      </w:r>
      <w:proofErr w:type="spellStart"/>
      <w:r>
        <w:rPr>
          <w:rFonts w:ascii="Times New Roman" w:eastAsia="Arial" w:hAnsi="Times New Roman" w:cs="Times New Roman"/>
          <w:sz w:val="26"/>
          <w:szCs w:val="26"/>
        </w:rPr>
        <w:t>farflung</w:t>
      </w:r>
      <w:proofErr w:type="spellEnd"/>
      <w:r>
        <w:rPr>
          <w:rFonts w:ascii="Times New Roman" w:eastAsia="Arial" w:hAnsi="Times New Roman" w:cs="Times New Roman"/>
          <w:sz w:val="26"/>
          <w:szCs w:val="26"/>
        </w:rPr>
        <w:t xml:space="preserve"> operation. Whether this has led to other convictions is all but irrelevant to the nature of the CCE offense. </w:t>
      </w:r>
      <w:proofErr w:type="gramStart"/>
      <w:r w:rsidRPr="002A3C0B">
        <w:rPr>
          <w:rFonts w:ascii="Times New Roman" w:eastAsia="Arial" w:hAnsi="Times New Roman" w:cs="Times New Roman"/>
          <w:i/>
          <w:sz w:val="26"/>
          <w:szCs w:val="26"/>
        </w:rPr>
        <w:t>United States v. Alvarez-Moreno</w:t>
      </w:r>
      <w:r>
        <w:rPr>
          <w:rFonts w:ascii="Times New Roman" w:eastAsia="Arial" w:hAnsi="Times New Roman" w:cs="Times New Roman"/>
          <w:sz w:val="26"/>
          <w:szCs w:val="26"/>
        </w:rPr>
        <w:t>, 874 F.2d 1402, 140809 (11</w:t>
      </w:r>
      <w:r w:rsidRPr="003F1963">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1989).</w:t>
      </w:r>
      <w:proofErr w:type="gramEnd"/>
    </w:p>
    <w:p w:rsidR="004D4BF2" w:rsidRDefault="004D4BF2" w:rsidP="004D4BF2">
      <w:pPr>
        <w:spacing w:after="0" w:line="240" w:lineRule="auto"/>
        <w:jc w:val="both"/>
        <w:rPr>
          <w:rFonts w:ascii="Times New Roman" w:eastAsia="Arial" w:hAnsi="Times New Roman" w:cs="Times New Roman"/>
          <w:sz w:val="26"/>
          <w:szCs w:val="26"/>
        </w:rPr>
      </w:pPr>
    </w:p>
    <w:p w:rsidR="004D4BF2" w:rsidRDefault="004D4BF2" w:rsidP="004D4BF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statute is “a carefully crafted prohibition,” which should be given a “common-sense reading,” </w:t>
      </w:r>
      <w:r w:rsidRPr="002A3C0B">
        <w:rPr>
          <w:rFonts w:ascii="Times New Roman" w:eastAsia="Arial" w:hAnsi="Times New Roman" w:cs="Times New Roman"/>
          <w:i/>
          <w:sz w:val="26"/>
          <w:szCs w:val="26"/>
        </w:rPr>
        <w:t>Garrett v. United States</w:t>
      </w:r>
      <w:r>
        <w:rPr>
          <w:rFonts w:ascii="Times New Roman" w:eastAsia="Arial" w:hAnsi="Times New Roman" w:cs="Times New Roman"/>
          <w:sz w:val="26"/>
          <w:szCs w:val="26"/>
        </w:rPr>
        <w:t xml:space="preserve">, 471 U.S. 773, 781, 105 S. Ct. 2407, 2413 (1985). This language is designed “to reach the ‘top brass’ in the drug rings, not the lieutenants and foot </w:t>
      </w:r>
      <w:proofErr w:type="spellStart"/>
      <w:r>
        <w:rPr>
          <w:rFonts w:ascii="Times New Roman" w:eastAsia="Arial" w:hAnsi="Times New Roman" w:cs="Times New Roman"/>
          <w:sz w:val="26"/>
          <w:szCs w:val="26"/>
        </w:rPr>
        <w:t>solders</w:t>
      </w:r>
      <w:proofErr w:type="spellEnd"/>
      <w:r>
        <w:rPr>
          <w:rFonts w:ascii="Times New Roman" w:eastAsia="Arial" w:hAnsi="Times New Roman" w:cs="Times New Roman"/>
          <w:sz w:val="26"/>
          <w:szCs w:val="26"/>
        </w:rPr>
        <w:t xml:space="preserve">.” </w:t>
      </w:r>
      <w:r w:rsidRPr="002A3C0B">
        <w:rPr>
          <w:rFonts w:ascii="Times New Roman" w:eastAsia="Arial" w:hAnsi="Times New Roman" w:cs="Times New Roman"/>
          <w:i/>
          <w:sz w:val="26"/>
          <w:szCs w:val="26"/>
        </w:rPr>
        <w:t>Id</w:t>
      </w:r>
      <w:r>
        <w:rPr>
          <w:rFonts w:ascii="Times New Roman" w:eastAsia="Arial" w:hAnsi="Times New Roman" w:cs="Times New Roman"/>
          <w:sz w:val="26"/>
          <w:szCs w:val="26"/>
        </w:rPr>
        <w:t xml:space="preserve">. Hence, “[a] mere buyer-seller relationship does not satisfy § 848’s management requirement.” </w:t>
      </w:r>
      <w:r w:rsidRPr="002A3C0B">
        <w:rPr>
          <w:rFonts w:ascii="Times New Roman" w:eastAsia="Arial" w:hAnsi="Times New Roman" w:cs="Times New Roman"/>
          <w:i/>
          <w:sz w:val="26"/>
          <w:szCs w:val="26"/>
        </w:rPr>
        <w:t xml:space="preserve">United States v. </w:t>
      </w:r>
      <w:proofErr w:type="spellStart"/>
      <w:r w:rsidRPr="002A3C0B">
        <w:rPr>
          <w:rFonts w:ascii="Times New Roman" w:eastAsia="Arial" w:hAnsi="Times New Roman" w:cs="Times New Roman"/>
          <w:i/>
          <w:sz w:val="26"/>
          <w:szCs w:val="26"/>
        </w:rPr>
        <w:t>Witek</w:t>
      </w:r>
      <w:proofErr w:type="spellEnd"/>
      <w:r>
        <w:rPr>
          <w:rFonts w:ascii="Times New Roman" w:eastAsia="Arial" w:hAnsi="Times New Roman" w:cs="Times New Roman"/>
          <w:sz w:val="26"/>
          <w:szCs w:val="26"/>
        </w:rPr>
        <w:t>, 61 F.3d 819, 822 (11</w:t>
      </w:r>
      <w:r w:rsidRPr="00E13C51">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1995), </w:t>
      </w:r>
      <w:r w:rsidRPr="002A3C0B">
        <w:rPr>
          <w:rFonts w:ascii="Times New Roman" w:eastAsia="Arial" w:hAnsi="Times New Roman" w:cs="Times New Roman"/>
          <w:i/>
          <w:sz w:val="26"/>
          <w:szCs w:val="26"/>
        </w:rPr>
        <w:t>cert. denied</w:t>
      </w:r>
      <w:r w:rsidRPr="002A3C0B">
        <w:rPr>
          <w:rFonts w:ascii="Times New Roman" w:eastAsia="Arial" w:hAnsi="Times New Roman" w:cs="Times New Roman"/>
          <w:sz w:val="26"/>
          <w:szCs w:val="26"/>
        </w:rPr>
        <w:t xml:space="preserve">, </w:t>
      </w:r>
      <w:r w:rsidRPr="002A3C0B">
        <w:rPr>
          <w:rFonts w:ascii="Times New Roman" w:eastAsia="Arial" w:hAnsi="Times New Roman" w:cs="Times New Roman"/>
          <w:i/>
          <w:sz w:val="26"/>
          <w:szCs w:val="26"/>
        </w:rPr>
        <w:t>Hubbard v. United States</w:t>
      </w:r>
      <w:r>
        <w:rPr>
          <w:rFonts w:ascii="Times New Roman" w:eastAsia="Arial" w:hAnsi="Times New Roman" w:cs="Times New Roman"/>
          <w:sz w:val="26"/>
          <w:szCs w:val="26"/>
        </w:rPr>
        <w:t xml:space="preserve">, 516 U.S. 1060, 116 S. Ct. 738 (1996). Rather, an organizer is one who arranges the activities of others into an orderly operation. </w:t>
      </w:r>
      <w:proofErr w:type="gramStart"/>
      <w:r w:rsidRPr="002A3C0B">
        <w:rPr>
          <w:rFonts w:ascii="Times New Roman" w:eastAsia="Arial" w:hAnsi="Times New Roman" w:cs="Times New Roman"/>
          <w:i/>
          <w:sz w:val="26"/>
          <w:szCs w:val="26"/>
        </w:rPr>
        <w:t>Id</w:t>
      </w:r>
      <w:r>
        <w:rPr>
          <w:rFonts w:ascii="Times New Roman" w:eastAsia="Arial" w:hAnsi="Times New Roman" w:cs="Times New Roman"/>
          <w:sz w:val="26"/>
          <w:szCs w:val="26"/>
        </w:rPr>
        <w:t>. at 822-24.</w:t>
      </w:r>
      <w:proofErr w:type="gramEnd"/>
    </w:p>
    <w:p w:rsidR="004D4BF2" w:rsidRDefault="004D4BF2" w:rsidP="004D4BF2">
      <w:pPr>
        <w:spacing w:after="0" w:line="240" w:lineRule="auto"/>
        <w:jc w:val="both"/>
        <w:rPr>
          <w:rFonts w:ascii="Times New Roman" w:eastAsia="Arial" w:hAnsi="Times New Roman" w:cs="Times New Roman"/>
          <w:sz w:val="26"/>
          <w:szCs w:val="26"/>
        </w:rPr>
      </w:pPr>
    </w:p>
    <w:p w:rsidR="004D4BF2" w:rsidRDefault="004D4BF2" w:rsidP="004D4BF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A defendant who supervises less than five persons who, in turn, supervise the activities of others, can be found to have supervised and managed “five or more other persons” under § 848, provided that the total number of persons is five or more. Thus, if “a defendant personally hires only the foreman, that defendant is still responsible for organizing the individuals hired by the foreman to work as the crew… [M]ere delegation of authority does not detract from [the defendant’s] ultimate status as organizer.” </w:t>
      </w:r>
      <w:r w:rsidRPr="002A3C0B">
        <w:rPr>
          <w:rFonts w:ascii="Times New Roman" w:eastAsia="Arial" w:hAnsi="Times New Roman" w:cs="Times New Roman"/>
          <w:i/>
          <w:sz w:val="26"/>
          <w:szCs w:val="26"/>
        </w:rPr>
        <w:t>United States v. Rosenthal</w:t>
      </w:r>
      <w:r>
        <w:rPr>
          <w:rFonts w:ascii="Times New Roman" w:eastAsia="Arial" w:hAnsi="Times New Roman" w:cs="Times New Roman"/>
          <w:sz w:val="26"/>
          <w:szCs w:val="26"/>
        </w:rPr>
        <w:t>, 793 F.2d 1214, 1226 (11</w:t>
      </w:r>
      <w:r w:rsidRPr="00E13C51">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1986), modified on other grounds, 801 F.2d 378 (11</w:t>
      </w:r>
      <w:r w:rsidRPr="00E13C51">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1986) acted in concert at the same time.” </w:t>
      </w:r>
      <w:r w:rsidRPr="002A3C0B">
        <w:rPr>
          <w:rFonts w:ascii="Times New Roman" w:eastAsia="Arial" w:hAnsi="Times New Roman" w:cs="Times New Roman"/>
          <w:i/>
          <w:sz w:val="26"/>
          <w:szCs w:val="26"/>
        </w:rPr>
        <w:t>United States v. Boldin</w:t>
      </w:r>
      <w:r>
        <w:rPr>
          <w:rFonts w:ascii="Times New Roman" w:eastAsia="Arial" w:hAnsi="Times New Roman" w:cs="Times New Roman"/>
          <w:sz w:val="26"/>
          <w:szCs w:val="26"/>
        </w:rPr>
        <w:t>, 818 F.2d 771, 775-76 (11</w:t>
      </w:r>
      <w:r w:rsidRPr="00E13C51">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1987); </w:t>
      </w:r>
      <w:r w:rsidRPr="002A3C0B">
        <w:rPr>
          <w:rFonts w:ascii="Times New Roman" w:eastAsia="Arial" w:hAnsi="Times New Roman" w:cs="Times New Roman"/>
          <w:i/>
          <w:sz w:val="26"/>
          <w:szCs w:val="26"/>
        </w:rPr>
        <w:t xml:space="preserve">see also United States v. </w:t>
      </w:r>
      <w:proofErr w:type="spellStart"/>
      <w:r w:rsidRPr="002A3C0B">
        <w:rPr>
          <w:rFonts w:ascii="Times New Roman" w:eastAsia="Arial" w:hAnsi="Times New Roman" w:cs="Times New Roman"/>
          <w:i/>
          <w:sz w:val="26"/>
          <w:szCs w:val="26"/>
        </w:rPr>
        <w:t>Atencio</w:t>
      </w:r>
      <w:proofErr w:type="spellEnd"/>
      <w:r>
        <w:rPr>
          <w:rFonts w:ascii="Times New Roman" w:eastAsia="Arial" w:hAnsi="Times New Roman" w:cs="Times New Roman"/>
          <w:sz w:val="26"/>
          <w:szCs w:val="26"/>
        </w:rPr>
        <w:t>, 435 F.3d 1222, 1234 (10</w:t>
      </w:r>
      <w:r w:rsidRPr="00E13C51">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2006) (“[A] defendant need not have had regular personal contact with the five persons she supervised.”); </w:t>
      </w:r>
      <w:r w:rsidRPr="002A3C0B">
        <w:rPr>
          <w:rFonts w:ascii="Times New Roman" w:eastAsia="Arial" w:hAnsi="Times New Roman" w:cs="Times New Roman"/>
          <w:i/>
          <w:sz w:val="26"/>
          <w:szCs w:val="26"/>
        </w:rPr>
        <w:t xml:space="preserve">United States v. </w:t>
      </w:r>
      <w:proofErr w:type="spellStart"/>
      <w:r w:rsidRPr="002A3C0B">
        <w:rPr>
          <w:rFonts w:ascii="Times New Roman" w:eastAsia="Arial" w:hAnsi="Times New Roman" w:cs="Times New Roman"/>
          <w:i/>
          <w:sz w:val="26"/>
          <w:szCs w:val="26"/>
        </w:rPr>
        <w:t>Mathison</w:t>
      </w:r>
      <w:proofErr w:type="spellEnd"/>
      <w:r>
        <w:rPr>
          <w:rFonts w:ascii="Times New Roman" w:eastAsia="Arial" w:hAnsi="Times New Roman" w:cs="Times New Roman"/>
          <w:sz w:val="26"/>
          <w:szCs w:val="26"/>
        </w:rPr>
        <w:t>, 518 F.3d 935, 939 (8</w:t>
      </w:r>
      <w:r w:rsidRPr="00E13C51">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2008) (“The statute does not require that the defendant supervise all five people at the same time”).</w:t>
      </w:r>
    </w:p>
    <w:p w:rsidR="004D4BF2" w:rsidRDefault="004D4BF2" w:rsidP="004D4BF2">
      <w:pPr>
        <w:spacing w:after="0" w:line="240" w:lineRule="auto"/>
        <w:jc w:val="both"/>
        <w:rPr>
          <w:rFonts w:ascii="Times New Roman" w:eastAsia="Arial" w:hAnsi="Times New Roman" w:cs="Times New Roman"/>
          <w:sz w:val="26"/>
          <w:szCs w:val="26"/>
        </w:rPr>
      </w:pPr>
    </w:p>
    <w:p w:rsidR="004D4BF2" w:rsidRDefault="004D4BF2" w:rsidP="004D4BF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In contrast to the “three violation” requirement, the jury need not unanimously agree on which five persons the defendant organized, supervised, or managed. </w:t>
      </w:r>
      <w:r w:rsidRPr="002A3C0B">
        <w:rPr>
          <w:rFonts w:ascii="Times New Roman" w:eastAsia="Arial" w:hAnsi="Times New Roman" w:cs="Times New Roman"/>
          <w:i/>
          <w:sz w:val="26"/>
          <w:szCs w:val="26"/>
        </w:rPr>
        <w:t>United States v. Moorman</w:t>
      </w:r>
      <w:r>
        <w:rPr>
          <w:rFonts w:ascii="Times New Roman" w:eastAsia="Arial" w:hAnsi="Times New Roman" w:cs="Times New Roman"/>
          <w:sz w:val="26"/>
          <w:szCs w:val="26"/>
        </w:rPr>
        <w:t>, 944 F.2d 801, 802-03 (11</w:t>
      </w:r>
      <w:r w:rsidRPr="00DC09D6">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1991); </w:t>
      </w:r>
      <w:r w:rsidRPr="002A3C0B">
        <w:rPr>
          <w:rFonts w:ascii="Times New Roman" w:eastAsia="Arial" w:hAnsi="Times New Roman" w:cs="Times New Roman"/>
          <w:i/>
          <w:sz w:val="26"/>
          <w:szCs w:val="26"/>
        </w:rPr>
        <w:t>United States v. Lewis</w:t>
      </w:r>
      <w:r>
        <w:rPr>
          <w:rFonts w:ascii="Times New Roman" w:eastAsia="Arial" w:hAnsi="Times New Roman" w:cs="Times New Roman"/>
          <w:sz w:val="26"/>
          <w:szCs w:val="26"/>
        </w:rPr>
        <w:t>, 476 F.3d 369, 382-83 (5</w:t>
      </w:r>
      <w:r w:rsidRPr="00DC09D6">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2007); </w:t>
      </w:r>
      <w:r w:rsidRPr="002A3C0B">
        <w:rPr>
          <w:rFonts w:ascii="Times New Roman" w:eastAsia="Arial" w:hAnsi="Times New Roman" w:cs="Times New Roman"/>
          <w:i/>
          <w:sz w:val="26"/>
          <w:szCs w:val="26"/>
        </w:rPr>
        <w:t>United States v. Stitt</w:t>
      </w:r>
      <w:r>
        <w:rPr>
          <w:rFonts w:ascii="Times New Roman" w:eastAsia="Arial" w:hAnsi="Times New Roman" w:cs="Times New Roman"/>
          <w:sz w:val="26"/>
          <w:szCs w:val="26"/>
        </w:rPr>
        <w:t>, 250 F.3d 878, 885-86 (4</w:t>
      </w:r>
      <w:r w:rsidRPr="00DC09D6">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2001); Fifth Cir. Pattern Jury Instr. § 2.90 at 265 (“note”) (2001) (collecting cases).</w:t>
      </w:r>
    </w:p>
    <w:p w:rsidR="004D4BF2" w:rsidRDefault="004D4BF2" w:rsidP="004D4BF2">
      <w:pPr>
        <w:spacing w:after="0" w:line="240" w:lineRule="auto"/>
        <w:jc w:val="both"/>
        <w:rPr>
          <w:rFonts w:ascii="Times New Roman" w:eastAsia="Arial" w:hAnsi="Times New Roman" w:cs="Times New Roman"/>
          <w:sz w:val="26"/>
          <w:szCs w:val="26"/>
        </w:rPr>
      </w:pPr>
    </w:p>
    <w:p w:rsidR="004D4BF2" w:rsidRDefault="004D4BF2" w:rsidP="004D4BF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A jury need not find that a defendant obtained substantial income or resources from each violation, but only from the entire series of violations. </w:t>
      </w:r>
      <w:r w:rsidRPr="002A3C0B">
        <w:rPr>
          <w:rFonts w:ascii="Times New Roman" w:eastAsia="Arial" w:hAnsi="Times New Roman" w:cs="Times New Roman"/>
          <w:i/>
          <w:sz w:val="26"/>
          <w:szCs w:val="26"/>
        </w:rPr>
        <w:t>United States v. Gonzalez</w:t>
      </w:r>
      <w:r>
        <w:rPr>
          <w:rFonts w:ascii="Times New Roman" w:eastAsia="Arial" w:hAnsi="Times New Roman" w:cs="Times New Roman"/>
          <w:sz w:val="26"/>
          <w:szCs w:val="26"/>
        </w:rPr>
        <w:t>, 940 F.2d 1413, 1424 (11</w:t>
      </w:r>
      <w:r w:rsidRPr="00DC09D6">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1991); </w:t>
      </w:r>
      <w:r w:rsidRPr="002A3C0B">
        <w:rPr>
          <w:rFonts w:ascii="Times New Roman" w:eastAsia="Arial" w:hAnsi="Times New Roman" w:cs="Times New Roman"/>
          <w:i/>
          <w:sz w:val="26"/>
          <w:szCs w:val="26"/>
        </w:rPr>
        <w:t>see also United States v. Torres-</w:t>
      </w:r>
      <w:proofErr w:type="spellStart"/>
      <w:r w:rsidRPr="002A3C0B">
        <w:rPr>
          <w:rFonts w:ascii="Times New Roman" w:eastAsia="Arial" w:hAnsi="Times New Roman" w:cs="Times New Roman"/>
          <w:i/>
          <w:sz w:val="26"/>
          <w:szCs w:val="26"/>
        </w:rPr>
        <w:t>Laranega</w:t>
      </w:r>
      <w:proofErr w:type="spellEnd"/>
      <w:r>
        <w:rPr>
          <w:rFonts w:ascii="Times New Roman" w:eastAsia="Arial" w:hAnsi="Times New Roman" w:cs="Times New Roman"/>
          <w:sz w:val="26"/>
          <w:szCs w:val="26"/>
        </w:rPr>
        <w:t>, 476 F.3d 1148, 1158 (10</w:t>
      </w:r>
      <w:r w:rsidRPr="00DC09D6">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2007) (citing </w:t>
      </w:r>
      <w:r w:rsidRPr="002A3C0B">
        <w:rPr>
          <w:rFonts w:ascii="Times New Roman" w:eastAsia="Arial" w:hAnsi="Times New Roman" w:cs="Times New Roman"/>
          <w:i/>
          <w:sz w:val="26"/>
          <w:szCs w:val="26"/>
        </w:rPr>
        <w:t>Richardson v. United States</w:t>
      </w:r>
      <w:r>
        <w:rPr>
          <w:rFonts w:ascii="Times New Roman" w:eastAsia="Arial" w:hAnsi="Times New Roman" w:cs="Times New Roman"/>
          <w:sz w:val="26"/>
          <w:szCs w:val="26"/>
        </w:rPr>
        <w:t>, 526 U.S. 813, 823 (1999)).</w:t>
      </w:r>
    </w:p>
    <w:p w:rsidR="004D4BF2" w:rsidRDefault="004D4BF2" w:rsidP="004D4BF2">
      <w:pPr>
        <w:spacing w:after="0" w:line="240" w:lineRule="auto"/>
        <w:jc w:val="both"/>
        <w:rPr>
          <w:rFonts w:ascii="Times New Roman" w:eastAsia="Arial" w:hAnsi="Times New Roman" w:cs="Times New Roman"/>
          <w:sz w:val="26"/>
          <w:szCs w:val="26"/>
        </w:rPr>
      </w:pPr>
    </w:p>
    <w:p w:rsidR="00725167" w:rsidRPr="004D4BF2" w:rsidRDefault="004D4BF2" w:rsidP="004D4BF2">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lastRenderedPageBreak/>
        <w:t xml:space="preserve">Jury instructions must be crafted in light of the double jeopardy considerations addressed in </w:t>
      </w:r>
      <w:r w:rsidRPr="002A3C0B">
        <w:rPr>
          <w:rFonts w:ascii="Times New Roman" w:eastAsia="Arial" w:hAnsi="Times New Roman" w:cs="Times New Roman"/>
          <w:i/>
          <w:sz w:val="26"/>
          <w:szCs w:val="26"/>
        </w:rPr>
        <w:t>Rutledge v. United States</w:t>
      </w:r>
      <w:r>
        <w:rPr>
          <w:rFonts w:ascii="Times New Roman" w:eastAsia="Arial" w:hAnsi="Times New Roman" w:cs="Times New Roman"/>
          <w:sz w:val="26"/>
          <w:szCs w:val="26"/>
        </w:rPr>
        <w:t>, 517 U.S. 292, 296307 (1996)</w:t>
      </w:r>
      <w:r w:rsidR="001970C8">
        <w:rPr>
          <w:rFonts w:ascii="Times New Roman" w:eastAsia="Arial" w:hAnsi="Times New Roman" w:cs="Times New Roman"/>
          <w:sz w:val="26"/>
          <w:szCs w:val="26"/>
        </w:rPr>
        <w:t>.</w:t>
      </w:r>
      <w:r>
        <w:rPr>
          <w:rFonts w:ascii="Times New Roman" w:eastAsia="Arial" w:hAnsi="Times New Roman" w:cs="Times New Roman"/>
          <w:sz w:val="26"/>
          <w:szCs w:val="26"/>
        </w:rPr>
        <w:t xml:space="preserve"> “</w:t>
      </w:r>
      <w:r w:rsidR="00485FBB">
        <w:rPr>
          <w:rFonts w:ascii="Times New Roman" w:eastAsia="Arial" w:hAnsi="Times New Roman" w:cs="Times New Roman"/>
          <w:sz w:val="26"/>
          <w:szCs w:val="26"/>
        </w:rPr>
        <w:t>[A]</w:t>
      </w:r>
      <w:r>
        <w:rPr>
          <w:rFonts w:ascii="Times New Roman" w:eastAsia="Arial" w:hAnsi="Times New Roman" w:cs="Times New Roman"/>
          <w:sz w:val="26"/>
          <w:szCs w:val="26"/>
        </w:rPr>
        <w:t xml:space="preserve"> defendant cannot be cumulatively punished for violating both § 846 and § 848, because for purposes of the Double Jeopardy Clause, these two statutes proscribe the same offense.” </w:t>
      </w:r>
      <w:r w:rsidRPr="002A3C0B">
        <w:rPr>
          <w:rFonts w:ascii="Times New Roman" w:eastAsia="Arial" w:hAnsi="Times New Roman" w:cs="Times New Roman"/>
          <w:i/>
          <w:sz w:val="26"/>
          <w:szCs w:val="26"/>
        </w:rPr>
        <w:t>United States v. Jeffers</w:t>
      </w:r>
      <w:r>
        <w:rPr>
          <w:rFonts w:ascii="Times New Roman" w:eastAsia="Arial" w:hAnsi="Times New Roman" w:cs="Times New Roman"/>
          <w:sz w:val="26"/>
          <w:szCs w:val="26"/>
        </w:rPr>
        <w:t>, 388 F.3d 289, 292 (7</w:t>
      </w:r>
      <w:r w:rsidRPr="00DC09D6">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2004), </w:t>
      </w:r>
      <w:r w:rsidRPr="002A3C0B">
        <w:rPr>
          <w:rFonts w:ascii="Times New Roman" w:eastAsia="Arial" w:hAnsi="Times New Roman" w:cs="Times New Roman"/>
          <w:i/>
          <w:sz w:val="26"/>
          <w:szCs w:val="26"/>
        </w:rPr>
        <w:t>cert. denied</w:t>
      </w:r>
      <w:r>
        <w:rPr>
          <w:rFonts w:ascii="Times New Roman" w:eastAsia="Arial" w:hAnsi="Times New Roman" w:cs="Times New Roman"/>
          <w:sz w:val="26"/>
          <w:szCs w:val="26"/>
        </w:rPr>
        <w:t xml:space="preserve">, 544 U.S. 1010, 125 S. Ct. 1966 (2005). A § 846 drug conspiracy is a lesser included offense of the CCE charge, so if the defendant is convicted under § 846, the “in concert” element of an § 848 conviction cannot rest on the same agreement as the § 846 conspiracy. </w:t>
      </w:r>
      <w:r w:rsidRPr="002A3C0B">
        <w:rPr>
          <w:rFonts w:ascii="Times New Roman" w:eastAsia="Arial" w:hAnsi="Times New Roman" w:cs="Times New Roman"/>
          <w:i/>
          <w:sz w:val="26"/>
          <w:szCs w:val="26"/>
        </w:rPr>
        <w:t>Rutledge</w:t>
      </w:r>
      <w:r>
        <w:rPr>
          <w:rFonts w:ascii="Times New Roman" w:eastAsia="Arial" w:hAnsi="Times New Roman" w:cs="Times New Roman"/>
          <w:sz w:val="26"/>
          <w:szCs w:val="26"/>
        </w:rPr>
        <w:t xml:space="preserve">, 517 U.S. at 307; see also </w:t>
      </w:r>
      <w:r w:rsidRPr="002A3C0B">
        <w:rPr>
          <w:rFonts w:ascii="Times New Roman" w:eastAsia="Arial" w:hAnsi="Times New Roman" w:cs="Times New Roman"/>
          <w:i/>
          <w:sz w:val="26"/>
          <w:szCs w:val="26"/>
        </w:rPr>
        <w:t>United States v. Harvey</w:t>
      </w:r>
      <w:r>
        <w:rPr>
          <w:rFonts w:ascii="Times New Roman" w:eastAsia="Arial" w:hAnsi="Times New Roman" w:cs="Times New Roman"/>
          <w:sz w:val="26"/>
          <w:szCs w:val="26"/>
        </w:rPr>
        <w:t>, 78 F.3d 501 (11</w:t>
      </w:r>
      <w:r w:rsidRPr="00DC09D6">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1996) (prior conviction of drug conspiracy precluded subsequent prosecution for continuing criminal enterprise on double jeopardy grounds). However, there are exceptions to this rule. </w:t>
      </w:r>
      <w:r w:rsidRPr="002A3C0B">
        <w:rPr>
          <w:rFonts w:ascii="Times New Roman" w:eastAsia="Arial" w:hAnsi="Times New Roman" w:cs="Times New Roman"/>
          <w:i/>
          <w:sz w:val="26"/>
          <w:szCs w:val="26"/>
        </w:rPr>
        <w:t xml:space="preserve">See United States v. </w:t>
      </w:r>
      <w:proofErr w:type="spellStart"/>
      <w:r w:rsidRPr="002A3C0B">
        <w:rPr>
          <w:rFonts w:ascii="Times New Roman" w:eastAsia="Arial" w:hAnsi="Times New Roman" w:cs="Times New Roman"/>
          <w:i/>
          <w:sz w:val="26"/>
          <w:szCs w:val="26"/>
        </w:rPr>
        <w:t>Nyhuis</w:t>
      </w:r>
      <w:proofErr w:type="spellEnd"/>
      <w:r>
        <w:rPr>
          <w:rFonts w:ascii="Times New Roman" w:eastAsia="Arial" w:hAnsi="Times New Roman" w:cs="Times New Roman"/>
          <w:sz w:val="26"/>
          <w:szCs w:val="26"/>
        </w:rPr>
        <w:t>, 8 F.3d 731 (11</w:t>
      </w:r>
      <w:r w:rsidRPr="00DC09D6">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1993) (upholding both Section 846 conviction in Florida and 848 conviction in Michigan because court found </w:t>
      </w:r>
      <w:r w:rsidR="001970C8">
        <w:rPr>
          <w:rFonts w:ascii="Times New Roman" w:eastAsia="Arial" w:hAnsi="Times New Roman" w:cs="Times New Roman"/>
          <w:sz w:val="26"/>
          <w:szCs w:val="26"/>
        </w:rPr>
        <w:t>2</w:t>
      </w:r>
      <w:r>
        <w:rPr>
          <w:rFonts w:ascii="Times New Roman" w:eastAsia="Arial" w:hAnsi="Times New Roman" w:cs="Times New Roman"/>
          <w:sz w:val="26"/>
          <w:szCs w:val="26"/>
        </w:rPr>
        <w:t xml:space="preserve"> separate conspiracies); </w:t>
      </w:r>
      <w:r w:rsidRPr="002A3C0B">
        <w:rPr>
          <w:rFonts w:ascii="Times New Roman" w:eastAsia="Arial" w:hAnsi="Times New Roman" w:cs="Times New Roman"/>
          <w:i/>
          <w:sz w:val="26"/>
          <w:szCs w:val="26"/>
        </w:rPr>
        <w:t xml:space="preserve">United States v. </w:t>
      </w:r>
      <w:proofErr w:type="spellStart"/>
      <w:r w:rsidRPr="002A3C0B">
        <w:rPr>
          <w:rFonts w:ascii="Times New Roman" w:eastAsia="Arial" w:hAnsi="Times New Roman" w:cs="Times New Roman"/>
          <w:i/>
          <w:sz w:val="26"/>
          <w:szCs w:val="26"/>
        </w:rPr>
        <w:t>Maza</w:t>
      </w:r>
      <w:proofErr w:type="spellEnd"/>
      <w:r>
        <w:rPr>
          <w:rFonts w:ascii="Times New Roman" w:eastAsia="Arial" w:hAnsi="Times New Roman" w:cs="Times New Roman"/>
          <w:sz w:val="26"/>
          <w:szCs w:val="26"/>
        </w:rPr>
        <w:t>, 983 F.2d 1004 (11</w:t>
      </w:r>
      <w:r w:rsidRPr="00DC09D6">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1993) (applying the “due diligence” exception to the Fifth Amendment Double Jeopardy clause to uphold successive convictions under 21 U.S.C. § 846 and 21 U.S.C. § 848).</w:t>
      </w:r>
    </w:p>
    <w:sectPr w:rsidR="00725167" w:rsidRPr="004D4B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4C8" w:rsidRDefault="006514C8" w:rsidP="006514C8">
      <w:pPr>
        <w:spacing w:after="0" w:line="240" w:lineRule="auto"/>
      </w:pPr>
      <w:r>
        <w:separator/>
      </w:r>
    </w:p>
  </w:endnote>
  <w:endnote w:type="continuationSeparator" w:id="0">
    <w:p w:rsidR="006514C8" w:rsidRDefault="006514C8" w:rsidP="00651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4C8" w:rsidRDefault="006514C8" w:rsidP="006514C8">
      <w:pPr>
        <w:spacing w:after="0" w:line="240" w:lineRule="auto"/>
      </w:pPr>
      <w:r>
        <w:separator/>
      </w:r>
    </w:p>
  </w:footnote>
  <w:footnote w:type="continuationSeparator" w:id="0">
    <w:p w:rsidR="006514C8" w:rsidRDefault="006514C8" w:rsidP="006514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0D76D2"/>
    <w:rsid w:val="00110446"/>
    <w:rsid w:val="0011378D"/>
    <w:rsid w:val="001217D5"/>
    <w:rsid w:val="0012744C"/>
    <w:rsid w:val="00134A2F"/>
    <w:rsid w:val="00135397"/>
    <w:rsid w:val="00137BA2"/>
    <w:rsid w:val="00144B24"/>
    <w:rsid w:val="001450C4"/>
    <w:rsid w:val="001536CF"/>
    <w:rsid w:val="00157747"/>
    <w:rsid w:val="00166AB9"/>
    <w:rsid w:val="00194E82"/>
    <w:rsid w:val="001970C8"/>
    <w:rsid w:val="001D3E33"/>
    <w:rsid w:val="001D5FF6"/>
    <w:rsid w:val="001E3479"/>
    <w:rsid w:val="001E4EF8"/>
    <w:rsid w:val="001E5B53"/>
    <w:rsid w:val="001F7640"/>
    <w:rsid w:val="002077C3"/>
    <w:rsid w:val="00212F99"/>
    <w:rsid w:val="002161E7"/>
    <w:rsid w:val="002329BF"/>
    <w:rsid w:val="00233997"/>
    <w:rsid w:val="00236275"/>
    <w:rsid w:val="00245EF2"/>
    <w:rsid w:val="00246533"/>
    <w:rsid w:val="00260095"/>
    <w:rsid w:val="002604B9"/>
    <w:rsid w:val="00290544"/>
    <w:rsid w:val="002A3C0B"/>
    <w:rsid w:val="002B6595"/>
    <w:rsid w:val="002D2202"/>
    <w:rsid w:val="003067A0"/>
    <w:rsid w:val="00314335"/>
    <w:rsid w:val="00321868"/>
    <w:rsid w:val="003543E0"/>
    <w:rsid w:val="00367FCA"/>
    <w:rsid w:val="00372806"/>
    <w:rsid w:val="003A75E9"/>
    <w:rsid w:val="003B0729"/>
    <w:rsid w:val="003B09A8"/>
    <w:rsid w:val="003B14B7"/>
    <w:rsid w:val="003C2AB5"/>
    <w:rsid w:val="003C2BF8"/>
    <w:rsid w:val="003D6207"/>
    <w:rsid w:val="00406A43"/>
    <w:rsid w:val="00431B02"/>
    <w:rsid w:val="00465F35"/>
    <w:rsid w:val="00480645"/>
    <w:rsid w:val="00483B81"/>
    <w:rsid w:val="00485FBB"/>
    <w:rsid w:val="004A1AAC"/>
    <w:rsid w:val="004A354F"/>
    <w:rsid w:val="004C148A"/>
    <w:rsid w:val="004C531E"/>
    <w:rsid w:val="004D06A2"/>
    <w:rsid w:val="004D4BF2"/>
    <w:rsid w:val="004D5FF5"/>
    <w:rsid w:val="004E48D7"/>
    <w:rsid w:val="004F0806"/>
    <w:rsid w:val="00503A01"/>
    <w:rsid w:val="00511CE4"/>
    <w:rsid w:val="00533E75"/>
    <w:rsid w:val="00543EBC"/>
    <w:rsid w:val="0055088D"/>
    <w:rsid w:val="0056064A"/>
    <w:rsid w:val="00565EF7"/>
    <w:rsid w:val="00586722"/>
    <w:rsid w:val="005B45D9"/>
    <w:rsid w:val="005C4DB9"/>
    <w:rsid w:val="005E6914"/>
    <w:rsid w:val="005F50E3"/>
    <w:rsid w:val="00615301"/>
    <w:rsid w:val="0061645E"/>
    <w:rsid w:val="006179FB"/>
    <w:rsid w:val="00632C46"/>
    <w:rsid w:val="00633618"/>
    <w:rsid w:val="00636B96"/>
    <w:rsid w:val="006514C8"/>
    <w:rsid w:val="00696A1C"/>
    <w:rsid w:val="006A19AB"/>
    <w:rsid w:val="006B1FC0"/>
    <w:rsid w:val="006C204A"/>
    <w:rsid w:val="00712233"/>
    <w:rsid w:val="00725167"/>
    <w:rsid w:val="007507FB"/>
    <w:rsid w:val="00772642"/>
    <w:rsid w:val="00780FDD"/>
    <w:rsid w:val="00783A2A"/>
    <w:rsid w:val="007C4B9C"/>
    <w:rsid w:val="007C5077"/>
    <w:rsid w:val="007F0CBC"/>
    <w:rsid w:val="007F2C07"/>
    <w:rsid w:val="0080418B"/>
    <w:rsid w:val="00804614"/>
    <w:rsid w:val="0081575C"/>
    <w:rsid w:val="00824AA2"/>
    <w:rsid w:val="00831238"/>
    <w:rsid w:val="00841F17"/>
    <w:rsid w:val="0089495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0040"/>
    <w:rsid w:val="009F5C1B"/>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523E6"/>
    <w:rsid w:val="00B55CBA"/>
    <w:rsid w:val="00B64F36"/>
    <w:rsid w:val="00B8093D"/>
    <w:rsid w:val="00B83F0B"/>
    <w:rsid w:val="00B85D99"/>
    <w:rsid w:val="00B930F5"/>
    <w:rsid w:val="00BA1F2B"/>
    <w:rsid w:val="00BA6680"/>
    <w:rsid w:val="00BB0717"/>
    <w:rsid w:val="00BC6D90"/>
    <w:rsid w:val="00BD01A4"/>
    <w:rsid w:val="00BE616A"/>
    <w:rsid w:val="00BE645C"/>
    <w:rsid w:val="00BF3DBF"/>
    <w:rsid w:val="00C1091D"/>
    <w:rsid w:val="00C60792"/>
    <w:rsid w:val="00C6290E"/>
    <w:rsid w:val="00C83E88"/>
    <w:rsid w:val="00CA3187"/>
    <w:rsid w:val="00CA4FB6"/>
    <w:rsid w:val="00CB4D2A"/>
    <w:rsid w:val="00CC4195"/>
    <w:rsid w:val="00CC4FBE"/>
    <w:rsid w:val="00CD2013"/>
    <w:rsid w:val="00CD51F7"/>
    <w:rsid w:val="00CD734E"/>
    <w:rsid w:val="00CE7DC5"/>
    <w:rsid w:val="00CF4E02"/>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D63AA"/>
    <w:rsid w:val="00EF1AED"/>
    <w:rsid w:val="00F20C0B"/>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6514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4C8"/>
  </w:style>
  <w:style w:type="paragraph" w:styleId="Footer">
    <w:name w:val="footer"/>
    <w:basedOn w:val="Normal"/>
    <w:link w:val="FooterChar"/>
    <w:uiPriority w:val="99"/>
    <w:unhideWhenUsed/>
    <w:rsid w:val="006514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4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6514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4C8"/>
  </w:style>
  <w:style w:type="paragraph" w:styleId="Footer">
    <w:name w:val="footer"/>
    <w:basedOn w:val="Normal"/>
    <w:link w:val="FooterChar"/>
    <w:uiPriority w:val="99"/>
    <w:unhideWhenUsed/>
    <w:rsid w:val="006514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2017-11-29T14:18:00Z</dcterms:created>
  <dcterms:modified xsi:type="dcterms:W3CDTF">2017-11-29T14:18:00Z</dcterms:modified>
</cp:coreProperties>
</file>