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A140" w14:textId="3D2B180B" w:rsidR="00DE00DD" w:rsidRPr="00DE00DD" w:rsidRDefault="00DE00DD" w:rsidP="00DE00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71618">
        <w:rPr>
          <w:rFonts w:ascii="Times New Roman" w:hAnsi="Times New Roman" w:cs="Times New Roman"/>
          <w:b/>
          <w:sz w:val="26"/>
          <w:szCs w:val="26"/>
          <w:u w:val="single"/>
        </w:rPr>
        <w:t>ANNOTATIONS AND COMMENTS</w:t>
      </w:r>
    </w:p>
    <w:p w14:paraId="535F22BF" w14:textId="19BC01A6" w:rsidR="00DE00DD" w:rsidRPr="00571618" w:rsidRDefault="00DE00DD" w:rsidP="00DE00D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1618">
        <w:rPr>
          <w:rFonts w:ascii="Times New Roman" w:hAnsi="Times New Roman" w:cs="Times New Roman"/>
          <w:sz w:val="26"/>
          <w:szCs w:val="26"/>
        </w:rPr>
        <w:t>21 U.S.C. § 952(a) provides:</w:t>
      </w:r>
    </w:p>
    <w:p w14:paraId="34A83E8C" w14:textId="0DCCF4F0" w:rsidR="00DE00DD" w:rsidRPr="00571618" w:rsidRDefault="00DE00DD" w:rsidP="00DE00DD">
      <w:pPr>
        <w:tabs>
          <w:tab w:val="left" w:pos="9000"/>
        </w:tabs>
        <w:spacing w:line="240" w:lineRule="auto"/>
        <w:ind w:left="720" w:right="720"/>
        <w:jc w:val="both"/>
        <w:rPr>
          <w:rFonts w:ascii="Times New Roman" w:hAnsi="Times New Roman" w:cs="Times New Roman"/>
          <w:sz w:val="26"/>
          <w:szCs w:val="26"/>
        </w:rPr>
      </w:pPr>
      <w:r w:rsidRPr="00571618">
        <w:rPr>
          <w:rFonts w:ascii="Times New Roman" w:hAnsi="Times New Roman" w:cs="Times New Roman"/>
          <w:sz w:val="26"/>
          <w:szCs w:val="26"/>
        </w:rPr>
        <w:t>It shall be unlawful to import into</w:t>
      </w:r>
      <w:r>
        <w:rPr>
          <w:rFonts w:ascii="Times New Roman" w:hAnsi="Times New Roman" w:cs="Times New Roman"/>
          <w:sz w:val="26"/>
          <w:szCs w:val="26"/>
        </w:rPr>
        <w:t>. . .</w:t>
      </w:r>
      <w:r w:rsidRPr="00571618">
        <w:rPr>
          <w:rFonts w:ascii="Times New Roman" w:hAnsi="Times New Roman" w:cs="Times New Roman"/>
          <w:sz w:val="26"/>
          <w:szCs w:val="26"/>
        </w:rPr>
        <w:t xml:space="preserve"> the United States from any place outside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1618">
        <w:rPr>
          <w:rFonts w:ascii="Times New Roman" w:hAnsi="Times New Roman" w:cs="Times New Roman"/>
          <w:sz w:val="26"/>
          <w:szCs w:val="26"/>
        </w:rPr>
        <w:t>thereof</w:t>
      </w:r>
      <w:r>
        <w:rPr>
          <w:rFonts w:ascii="Times New Roman" w:hAnsi="Times New Roman" w:cs="Times New Roman"/>
          <w:sz w:val="26"/>
          <w:szCs w:val="26"/>
        </w:rPr>
        <w:t>. . .</w:t>
      </w:r>
      <w:r w:rsidRPr="00571618">
        <w:rPr>
          <w:rFonts w:ascii="Times New Roman" w:hAnsi="Times New Roman" w:cs="Times New Roman"/>
          <w:sz w:val="26"/>
          <w:szCs w:val="26"/>
        </w:rPr>
        <w:t xml:space="preserve"> any controlled substance</w:t>
      </w:r>
      <w:r>
        <w:rPr>
          <w:rFonts w:ascii="Times New Roman" w:hAnsi="Times New Roman" w:cs="Times New Roman"/>
          <w:sz w:val="26"/>
          <w:szCs w:val="26"/>
        </w:rPr>
        <w:t>. . .</w:t>
      </w:r>
    </w:p>
    <w:p w14:paraId="4C694F75" w14:textId="5C97F9D8" w:rsidR="00DE00DD" w:rsidRPr="00571618" w:rsidRDefault="00DE00DD" w:rsidP="00DE00DD">
      <w:pPr>
        <w:kinsoku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1618">
        <w:rPr>
          <w:rFonts w:ascii="Times New Roman" w:hAnsi="Times New Roman" w:cs="Times New Roman"/>
          <w:sz w:val="26"/>
          <w:szCs w:val="26"/>
        </w:rPr>
        <w:t xml:space="preserve">“Although knowledge that the substance imported is a particular narcotic need not be proven, 21 U.S.C. § 952(a) is a ‘specific intent’ statute and requires knowledge that such substance is a controlled substance.” 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>United States v. Restrepo-Granda</w:t>
      </w:r>
      <w:r w:rsidRPr="00571618">
        <w:rPr>
          <w:rFonts w:ascii="Times New Roman" w:hAnsi="Times New Roman" w:cs="Times New Roman"/>
          <w:sz w:val="26"/>
          <w:szCs w:val="26"/>
        </w:rPr>
        <w:t>, 575 F.2d 524, 527 (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76CC6">
        <w:rPr>
          <w:rFonts w:ascii="Times New Roman" w:eastAsia="Arial" w:hAnsi="Times New Roman"/>
          <w:sz w:val="26"/>
          <w:szCs w:val="26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71618">
        <w:rPr>
          <w:rFonts w:ascii="Times New Roman" w:hAnsi="Times New Roman" w:cs="Times New Roman"/>
          <w:sz w:val="26"/>
          <w:szCs w:val="26"/>
        </w:rPr>
        <w:t xml:space="preserve">Cir. 1978); 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>United States v. Gomez</w:t>
      </w:r>
      <w:r w:rsidRPr="00571618">
        <w:rPr>
          <w:rFonts w:ascii="Times New Roman" w:hAnsi="Times New Roman" w:cs="Times New Roman"/>
          <w:sz w:val="26"/>
          <w:szCs w:val="26"/>
        </w:rPr>
        <w:t>, 905 F.2d 1513, 1514 (1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76CC6">
        <w:rPr>
          <w:rFonts w:ascii="Times New Roman" w:eastAsia="Arial" w:hAnsi="Times New Roman"/>
          <w:sz w:val="26"/>
          <w:szCs w:val="26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1618">
        <w:rPr>
          <w:rFonts w:ascii="Times New Roman" w:hAnsi="Times New Roman" w:cs="Times New Roman"/>
          <w:sz w:val="26"/>
          <w:szCs w:val="26"/>
        </w:rPr>
        <w:t xml:space="preserve">Cir. 1990) (“[T]o sustain a conviction for possession with intent to distribute a controlled substance, it need not be proved that the defendant had knowledge of the particular drug involved, as long as he knew he was dealing with a controlled substance.”) (citing 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>Restrepo-Granda</w:t>
      </w:r>
      <w:r w:rsidRPr="00571618">
        <w:rPr>
          <w:rFonts w:ascii="Times New Roman" w:hAnsi="Times New Roman" w:cs="Times New Roman"/>
          <w:sz w:val="26"/>
          <w:szCs w:val="26"/>
        </w:rPr>
        <w:t xml:space="preserve">, 575 F.2d at 527); 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>United States v. Hernandez</w:t>
      </w:r>
      <w:r w:rsidRPr="00571618">
        <w:rPr>
          <w:rFonts w:ascii="Times New Roman" w:hAnsi="Times New Roman" w:cs="Times New Roman"/>
          <w:sz w:val="26"/>
          <w:szCs w:val="26"/>
        </w:rPr>
        <w:t>, 218 F.3d 58, 65 (</w:t>
      </w:r>
      <w:r>
        <w:rPr>
          <w:rFonts w:ascii="Times New Roman" w:hAnsi="Times New Roman" w:cs="Times New Roman"/>
          <w:sz w:val="26"/>
          <w:szCs w:val="26"/>
        </w:rPr>
        <w:t xml:space="preserve">1st </w:t>
      </w:r>
      <w:r w:rsidRPr="00571618">
        <w:rPr>
          <w:rFonts w:ascii="Times New Roman" w:hAnsi="Times New Roman" w:cs="Times New Roman"/>
          <w:sz w:val="26"/>
          <w:szCs w:val="26"/>
        </w:rPr>
        <w:t>Cir. 2000) (“Knowledge of the particular controlled substance being imported or distributed is not necessary.”).</w:t>
      </w:r>
    </w:p>
    <w:p w14:paraId="26896474" w14:textId="4D58CAAE" w:rsidR="00DE00DD" w:rsidRPr="00571618" w:rsidRDefault="00DE00DD" w:rsidP="00DE00DD">
      <w:pPr>
        <w:kinsoku w:val="0"/>
        <w:overflowPunct w:val="0"/>
        <w:autoSpaceDE w:val="0"/>
        <w:autoSpaceDN w:val="0"/>
        <w:adjustRightInd w:val="0"/>
        <w:spacing w:line="240" w:lineRule="auto"/>
        <w:ind w:right="116"/>
        <w:jc w:val="both"/>
        <w:rPr>
          <w:rFonts w:ascii="Times New Roman" w:hAnsi="Times New Roman" w:cs="Times New Roman"/>
          <w:sz w:val="26"/>
          <w:szCs w:val="26"/>
        </w:rPr>
      </w:pPr>
      <w:r w:rsidRPr="00571618">
        <w:rPr>
          <w:rFonts w:ascii="Times New Roman" w:hAnsi="Times New Roman" w:cs="Times New Roman"/>
          <w:sz w:val="26"/>
          <w:szCs w:val="26"/>
        </w:rPr>
        <w:t xml:space="preserve">Importation is a continuing crime and is not complete until the controlled substance reaches its final destination. 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>United States v. Camargo-Verga</w:t>
      </w:r>
      <w:r>
        <w:rPr>
          <w:rFonts w:ascii="Times New Roman" w:hAnsi="Times New Roman" w:cs="Times New Roman"/>
          <w:i/>
          <w:iCs/>
          <w:sz w:val="26"/>
          <w:szCs w:val="26"/>
        </w:rPr>
        <w:t>r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>a</w:t>
      </w:r>
      <w:r w:rsidRPr="00571618">
        <w:rPr>
          <w:rFonts w:ascii="Times New Roman" w:hAnsi="Times New Roman" w:cs="Times New Roman"/>
          <w:sz w:val="26"/>
          <w:szCs w:val="26"/>
        </w:rPr>
        <w:t>, 57 F.3d 993, 1001 (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B76CC6">
        <w:rPr>
          <w:rFonts w:ascii="Times New Roman" w:eastAsia="Arial" w:hAnsi="Times New Roman"/>
          <w:sz w:val="26"/>
          <w:szCs w:val="26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1618">
        <w:rPr>
          <w:rFonts w:ascii="Times New Roman" w:hAnsi="Times New Roman" w:cs="Times New Roman"/>
          <w:sz w:val="26"/>
          <w:szCs w:val="26"/>
        </w:rPr>
        <w:t>Cir. 1995).</w:t>
      </w:r>
    </w:p>
    <w:p w14:paraId="3BB8037B" w14:textId="62644EAC" w:rsidR="00DE00DD" w:rsidRPr="00DE00DD" w:rsidRDefault="00DE00DD" w:rsidP="00DE00DD">
      <w:pPr>
        <w:kinsoku w:val="0"/>
        <w:overflowPunct w:val="0"/>
        <w:autoSpaceDE w:val="0"/>
        <w:autoSpaceDN w:val="0"/>
        <w:adjustRightInd w:val="0"/>
        <w:spacing w:line="240" w:lineRule="auto"/>
        <w:ind w:right="118"/>
        <w:jc w:val="both"/>
        <w:rPr>
          <w:rFonts w:ascii="Times New Roman" w:hAnsi="Times New Roman" w:cs="Times New Roman"/>
          <w:sz w:val="26"/>
          <w:szCs w:val="26"/>
        </w:rPr>
      </w:pPr>
      <w:r w:rsidRPr="00571618">
        <w:rPr>
          <w:rFonts w:ascii="Times New Roman" w:hAnsi="Times New Roman" w:cs="Times New Roman"/>
          <w:sz w:val="26"/>
          <w:szCs w:val="26"/>
        </w:rPr>
        <w:t xml:space="preserve">The evidence may warrant a deliberate ignorance instruction. 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>United States v. Arias</w:t>
      </w:r>
      <w:r w:rsidRPr="00571618">
        <w:rPr>
          <w:rFonts w:ascii="Times New Roman" w:hAnsi="Times New Roman" w:cs="Times New Roman"/>
          <w:sz w:val="26"/>
          <w:szCs w:val="26"/>
        </w:rPr>
        <w:t>, 984 F.2d 1139, 1143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71618">
        <w:rPr>
          <w:rFonts w:ascii="Times New Roman" w:hAnsi="Times New Roman" w:cs="Times New Roman"/>
          <w:sz w:val="26"/>
          <w:szCs w:val="26"/>
        </w:rPr>
        <w:t>44 (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B76CC6">
        <w:rPr>
          <w:rFonts w:ascii="Times New Roman" w:eastAsia="Arial" w:hAnsi="Times New Roman"/>
          <w:sz w:val="26"/>
          <w:szCs w:val="26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71618">
        <w:rPr>
          <w:rFonts w:ascii="Times New Roman" w:hAnsi="Times New Roman" w:cs="Times New Roman"/>
          <w:sz w:val="26"/>
          <w:szCs w:val="26"/>
        </w:rPr>
        <w:t xml:space="preserve">Cir. 1993). </w:t>
      </w:r>
      <w:r w:rsidRPr="00571618">
        <w:rPr>
          <w:rFonts w:ascii="Times New Roman" w:hAnsi="Times New Roman" w:cs="Times New Roman"/>
          <w:i/>
          <w:iCs/>
          <w:sz w:val="26"/>
          <w:szCs w:val="26"/>
        </w:rPr>
        <w:t xml:space="preserve">See </w:t>
      </w:r>
      <w:r w:rsidRPr="00571618">
        <w:rPr>
          <w:rFonts w:ascii="Times New Roman" w:hAnsi="Times New Roman" w:cs="Times New Roman"/>
          <w:sz w:val="26"/>
          <w:szCs w:val="26"/>
        </w:rPr>
        <w:t>Special Instruction 8.</w:t>
      </w:r>
    </w:p>
    <w:p w14:paraId="1D6A5C87" w14:textId="77777777" w:rsidR="00DE00DD" w:rsidRPr="009C3791" w:rsidRDefault="00DE00DD" w:rsidP="00DE00DD">
      <w:pPr>
        <w:spacing w:line="240" w:lineRule="auto"/>
        <w:jc w:val="both"/>
        <w:rPr>
          <w:rFonts w:ascii="Times New Roman" w:eastAsia="Arial" w:hAnsi="Times New Roman" w:cs="Times New Roman"/>
          <w:kern w:val="2"/>
          <w:sz w:val="26"/>
          <w:szCs w:val="26"/>
          <w14:ligatures w14:val="standardContextual"/>
        </w:rPr>
      </w:pPr>
      <w:r w:rsidRPr="00E33570">
        <w:rPr>
          <w:rFonts w:ascii="Times New Roman" w:hAnsi="Times New Roman" w:cs="Times New Roman"/>
          <w:sz w:val="26"/>
          <w:szCs w:val="26"/>
        </w:rPr>
        <w:t xml:space="preserve">Under </w:t>
      </w:r>
      <w:proofErr w:type="spellStart"/>
      <w:r w:rsidRPr="00E33570">
        <w:rPr>
          <w:rFonts w:ascii="Times New Roman" w:hAnsi="Times New Roman" w:cs="Times New Roman"/>
          <w:i/>
          <w:iCs/>
          <w:sz w:val="26"/>
          <w:szCs w:val="26"/>
        </w:rPr>
        <w:t>Apprendi</w:t>
      </w:r>
      <w:proofErr w:type="spellEnd"/>
      <w:r w:rsidRPr="00E33570">
        <w:rPr>
          <w:rFonts w:ascii="Times New Roman" w:hAnsi="Times New Roman" w:cs="Times New Roman"/>
          <w:i/>
          <w:iCs/>
          <w:sz w:val="26"/>
          <w:szCs w:val="26"/>
        </w:rPr>
        <w:t xml:space="preserve"> v. New Jersey</w:t>
      </w:r>
      <w:r w:rsidRPr="00E33570">
        <w:rPr>
          <w:rFonts w:ascii="Times New Roman" w:hAnsi="Times New Roman" w:cs="Times New Roman"/>
          <w:sz w:val="26"/>
          <w:szCs w:val="26"/>
        </w:rPr>
        <w:t>, 530 U.S. 466 (2000)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33570">
        <w:rPr>
          <w:rFonts w:ascii="Times New Roman" w:hAnsi="Times New Roman" w:cs="Times New Roman"/>
          <w:sz w:val="26"/>
          <w:szCs w:val="26"/>
        </w:rPr>
        <w:t xml:space="preserve"> and </w:t>
      </w:r>
      <w:r w:rsidRPr="00E33570">
        <w:rPr>
          <w:rFonts w:ascii="Times New Roman" w:hAnsi="Times New Roman" w:cs="Times New Roman"/>
          <w:i/>
          <w:iCs/>
          <w:sz w:val="26"/>
          <w:szCs w:val="26"/>
        </w:rPr>
        <w:t>Alleyne v. United States</w:t>
      </w:r>
      <w:r w:rsidRPr="00E33570">
        <w:rPr>
          <w:rFonts w:ascii="Times New Roman" w:hAnsi="Times New Roman" w:cs="Times New Roman"/>
          <w:sz w:val="26"/>
          <w:szCs w:val="26"/>
        </w:rPr>
        <w:t xml:space="preserve">, 570 U.S. 99 (2013), when </w:t>
      </w:r>
      <w:r>
        <w:rPr>
          <w:rFonts w:ascii="Times New Roman" w:hAnsi="Times New Roman" w:cs="Times New Roman"/>
          <w:sz w:val="26"/>
          <w:szCs w:val="26"/>
        </w:rPr>
        <w:t xml:space="preserve">an indictment alleges </w:t>
      </w:r>
      <w:r w:rsidRPr="00E33570">
        <w:rPr>
          <w:rFonts w:ascii="Times New Roman" w:hAnsi="Times New Roman" w:cs="Times New Roman"/>
          <w:sz w:val="26"/>
          <w:szCs w:val="26"/>
        </w:rPr>
        <w:t>drug quantity</w:t>
      </w:r>
      <w:r>
        <w:rPr>
          <w:rFonts w:ascii="Times New Roman" w:hAnsi="Times New Roman" w:cs="Times New Roman"/>
          <w:sz w:val="26"/>
          <w:szCs w:val="26"/>
        </w:rPr>
        <w:t xml:space="preserve"> to subject a defendant to 21 U.S.C. § 841(b)’s enhanced penalties</w:t>
      </w:r>
      <w:r w:rsidRPr="00E33570">
        <w:rPr>
          <w:rFonts w:ascii="Times New Roman" w:hAnsi="Times New Roman" w:cs="Times New Roman"/>
          <w:sz w:val="26"/>
          <w:szCs w:val="26"/>
        </w:rPr>
        <w:t>, a jury must find</w:t>
      </w:r>
      <w:r>
        <w:rPr>
          <w:rFonts w:ascii="Times New Roman" w:hAnsi="Times New Roman" w:cs="Times New Roman"/>
          <w:sz w:val="26"/>
          <w:szCs w:val="26"/>
        </w:rPr>
        <w:t xml:space="preserve"> that</w:t>
      </w:r>
      <w:r w:rsidRPr="00E33570">
        <w:rPr>
          <w:rFonts w:ascii="Times New Roman" w:hAnsi="Times New Roman" w:cs="Times New Roman"/>
          <w:sz w:val="26"/>
          <w:szCs w:val="26"/>
        </w:rPr>
        <w:t xml:space="preserve"> the drug type and quantity </w:t>
      </w:r>
      <w:r>
        <w:rPr>
          <w:rFonts w:ascii="Times New Roman" w:hAnsi="Times New Roman" w:cs="Times New Roman"/>
          <w:sz w:val="26"/>
          <w:szCs w:val="26"/>
        </w:rPr>
        <w:t xml:space="preserve">have been </w:t>
      </w:r>
      <w:r w:rsidRPr="00E33570">
        <w:rPr>
          <w:rFonts w:ascii="Times New Roman" w:hAnsi="Times New Roman" w:cs="Times New Roman"/>
          <w:sz w:val="26"/>
          <w:szCs w:val="26"/>
        </w:rPr>
        <w:t>proven beyond a reasonable doubt. In such cases, drug quantity becomes an “element” or “ingredient” of the offense</w:t>
      </w:r>
      <w:r>
        <w:rPr>
          <w:rFonts w:ascii="Times New Roman" w:hAnsi="Times New Roman" w:cs="Times New Roman"/>
          <w:sz w:val="26"/>
          <w:szCs w:val="26"/>
        </w:rPr>
        <w:t xml:space="preserve"> for penalty purposes</w:t>
      </w:r>
      <w:r w:rsidRPr="00E33570">
        <w:rPr>
          <w:rFonts w:ascii="Times New Roman" w:eastAsia="Arial" w:hAnsi="Times New Roman"/>
          <w:sz w:val="26"/>
          <w:szCs w:val="26"/>
        </w:rPr>
        <w:t xml:space="preserve">. </w:t>
      </w:r>
      <w:r w:rsidRPr="00E33570">
        <w:rPr>
          <w:rFonts w:ascii="Times New Roman" w:hAnsi="Times New Roman" w:cs="Times New Roman"/>
          <w:i/>
          <w:iCs/>
          <w:sz w:val="26"/>
          <w:szCs w:val="26"/>
        </w:rPr>
        <w:t>United States v. Colston</w:t>
      </w:r>
      <w:r w:rsidRPr="00E33570">
        <w:rPr>
          <w:rFonts w:ascii="Times New Roman" w:hAnsi="Times New Roman" w:cs="Times New Roman"/>
          <w:sz w:val="26"/>
          <w:szCs w:val="26"/>
        </w:rPr>
        <w:t xml:space="preserve">, 4 </w:t>
      </w:r>
      <w:proofErr w:type="spellStart"/>
      <w:r w:rsidRPr="00E33570">
        <w:rPr>
          <w:rFonts w:ascii="Times New Roman" w:hAnsi="Times New Roman" w:cs="Times New Roman"/>
          <w:sz w:val="26"/>
          <w:szCs w:val="26"/>
        </w:rPr>
        <w:t>F.4th</w:t>
      </w:r>
      <w:proofErr w:type="spellEnd"/>
      <w:r w:rsidRPr="00E33570">
        <w:rPr>
          <w:rFonts w:ascii="Times New Roman" w:hAnsi="Times New Roman" w:cs="Times New Roman"/>
          <w:sz w:val="26"/>
          <w:szCs w:val="26"/>
        </w:rPr>
        <w:t xml:space="preserve"> 1179, 118</w:t>
      </w:r>
      <w:r>
        <w:rPr>
          <w:rFonts w:ascii="Times New Roman" w:hAnsi="Times New Roman" w:cs="Times New Roman"/>
          <w:sz w:val="26"/>
          <w:szCs w:val="26"/>
        </w:rPr>
        <w:t>7–89</w:t>
      </w:r>
      <w:r w:rsidRPr="00E33570">
        <w:rPr>
          <w:rFonts w:ascii="Times New Roman" w:hAnsi="Times New Roman" w:cs="Times New Roman"/>
          <w:sz w:val="26"/>
          <w:szCs w:val="26"/>
        </w:rPr>
        <w:t xml:space="preserve"> (11th Cir. 2021)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2B3636">
        <w:rPr>
          <w:rFonts w:ascii="Times New Roman" w:hAnsi="Times New Roman" w:cs="Times New Roman"/>
          <w:i/>
          <w:iCs/>
          <w:sz w:val="26"/>
          <w:szCs w:val="26"/>
        </w:rPr>
        <w:t>see also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79BE">
        <w:rPr>
          <w:rFonts w:ascii="Times New Roman" w:hAnsi="Times New Roman" w:cs="Times New Roman"/>
          <w:i/>
          <w:iCs/>
          <w:sz w:val="26"/>
          <w:szCs w:val="26"/>
        </w:rPr>
        <w:t>United States v. Gray</w:t>
      </w:r>
      <w:r>
        <w:rPr>
          <w:rFonts w:ascii="Times New Roman" w:hAnsi="Times New Roman" w:cs="Times New Roman"/>
          <w:sz w:val="26"/>
          <w:szCs w:val="26"/>
        </w:rPr>
        <w:t xml:space="preserve">, 94 </w:t>
      </w:r>
      <w:proofErr w:type="spellStart"/>
      <w:r w:rsidRPr="00604B9E">
        <w:rPr>
          <w:rFonts w:ascii="Times New Roman" w:hAnsi="Times New Roman" w:cs="Times New Roman"/>
          <w:sz w:val="26"/>
          <w:szCs w:val="26"/>
        </w:rPr>
        <w:t>F.4th</w:t>
      </w:r>
      <w:proofErr w:type="spellEnd"/>
      <w:r w:rsidRPr="00604B9E">
        <w:rPr>
          <w:rFonts w:ascii="Times New Roman" w:hAnsi="Times New Roman" w:cs="Times New Roman"/>
          <w:sz w:val="26"/>
          <w:szCs w:val="26"/>
        </w:rPr>
        <w:t xml:space="preserve"> 1267, </w:t>
      </w:r>
      <w:r>
        <w:rPr>
          <w:rFonts w:ascii="Times New Roman" w:hAnsi="Times New Roman" w:cs="Times New Roman"/>
          <w:sz w:val="26"/>
          <w:szCs w:val="26"/>
        </w:rPr>
        <w:t>1271 (11th Cir. 2024) (“In short, [the defendant]’s indictment for violating 21 U.S.C. § 841(a)(1) and § 846 required the government to prove only that he knew he possessed a controlled substance, not that he knew he possessed a certain controlled substance. The fact that the indictment named a specific substance [to establish penalties] does not change this general</w:t>
      </w:r>
      <w:r>
        <w:rPr>
          <w:rFonts w:ascii="Times New Roman" w:hAnsi="Times New Roman" w:cs="Times New Roman"/>
          <w:sz w:val="26"/>
          <w:szCs w:val="26"/>
        </w:rPr>
        <w:noBreakHyphen/>
        <w:t>knowledge requirement.”)</w:t>
      </w:r>
      <w:r w:rsidRPr="00E33570">
        <w:rPr>
          <w:rFonts w:ascii="Times New Roman" w:hAnsi="Times New Roman" w:cs="Times New Roman"/>
          <w:sz w:val="26"/>
          <w:szCs w:val="26"/>
        </w:rPr>
        <w:t>.</w:t>
      </w:r>
    </w:p>
    <w:p w14:paraId="146C6E87" w14:textId="77777777" w:rsidR="00DE00DD" w:rsidRPr="00571618" w:rsidRDefault="00DE00DD" w:rsidP="00DE00DD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0367411C" w14:textId="0A8C44C4" w:rsidR="00DE00DD" w:rsidRPr="00DE00DD" w:rsidRDefault="00DE00DD" w:rsidP="00DE00DD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u w:val="single"/>
        </w:rPr>
      </w:pPr>
      <w:r w:rsidRPr="00571618">
        <w:rPr>
          <w:rFonts w:ascii="Times New Roman" w:eastAsia="Arial" w:hAnsi="Times New Roman" w:cs="Times New Roman"/>
          <w:sz w:val="26"/>
          <w:szCs w:val="26"/>
          <w:u w:val="single"/>
        </w:rPr>
        <w:t>Special Verdict</w:t>
      </w:r>
    </w:p>
    <w:p w14:paraId="5A1657CD" w14:textId="5E6CA387" w:rsidR="00DE00DD" w:rsidRPr="00571618" w:rsidRDefault="00DE00DD" w:rsidP="00DE00DD">
      <w:pPr>
        <w:spacing w:line="240" w:lineRule="auto"/>
        <w:ind w:firstLine="36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OutlineDefault \l 3 \s 1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We, the Jury, find the Defendant [name of Defendant] _____ as charged in Count [One] of the indictment.</w:t>
      </w:r>
    </w:p>
    <w:p w14:paraId="15B1587A" w14:textId="6174F1C9" w:rsidR="00DE00DD" w:rsidRPr="00DE00DD" w:rsidRDefault="00DE00DD" w:rsidP="00DE00DD">
      <w:pPr>
        <w:spacing w:line="240" w:lineRule="auto"/>
        <w:ind w:firstLine="72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>[Note: If you find the Defendant not guilty as charged in Count [One], you need not consider paragraph 2 below.]</w:t>
      </w:r>
    </w:p>
    <w:p w14:paraId="2EB09617" w14:textId="08CA6762" w:rsidR="00DE00DD" w:rsidRPr="00571618" w:rsidRDefault="00DE00DD" w:rsidP="00DE00DD">
      <w:pPr>
        <w:spacing w:line="240" w:lineRule="auto"/>
        <w:ind w:firstLine="36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lastRenderedPageBreak/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OutlineDefault \l 3 \s 2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We, the Jury, having found the Defendant guilty of the offense charged in Count [One], further find with respect to that Count that [he</w:t>
      </w:r>
      <w:r>
        <w:rPr>
          <w:rFonts w:ascii="Times New Roman" w:eastAsia="Arial" w:hAnsi="Times New Roman" w:cs="Times New Roman"/>
          <w:sz w:val="26"/>
          <w:szCs w:val="26"/>
        </w:rPr>
        <w:t>/</w:t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she] </w:t>
      </w:r>
      <w:r>
        <w:rPr>
          <w:rFonts w:ascii="Times New Roman" w:eastAsia="Arial" w:hAnsi="Times New Roman" w:cs="Times New Roman"/>
          <w:sz w:val="26"/>
          <w:szCs w:val="26"/>
        </w:rPr>
        <w:t xml:space="preserve">imported </w:t>
      </w:r>
      <w:r w:rsidRPr="00571618">
        <w:rPr>
          <w:rFonts w:ascii="Times New Roman" w:eastAsia="Arial" w:hAnsi="Times New Roman" w:cs="Times New Roman"/>
          <w:sz w:val="26"/>
          <w:szCs w:val="26"/>
        </w:rPr>
        <w:t>the following controlled substance[s] in the amount[s] shown (place an X in the appropriate box[es]):</w:t>
      </w:r>
    </w:p>
    <w:p w14:paraId="477AC28D" w14:textId="77777777" w:rsidR="00DE00DD" w:rsidRPr="00571618" w:rsidRDefault="00DE00DD" w:rsidP="00DE00DD">
      <w:pPr>
        <w:spacing w:after="0" w:line="240" w:lineRule="auto"/>
        <w:ind w:firstLine="360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>[</w: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Marijuana - -</w:t>
      </w:r>
    </w:p>
    <w:p w14:paraId="4B867F07" w14:textId="77777777" w:rsidR="00DE00DD" w:rsidRPr="00571618" w:rsidRDefault="00DE00DD" w:rsidP="00DE00DD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1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  Weighing 1000 kilograms or more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115337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</w:p>
    <w:p w14:paraId="01C4074A" w14:textId="77777777" w:rsidR="00DE00DD" w:rsidRPr="00571618" w:rsidRDefault="00DE00DD" w:rsidP="00DE00DD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2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 Weighing 100 kilograms or more 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98320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</w:p>
    <w:p w14:paraId="585849E5" w14:textId="77777777" w:rsidR="00DE00DD" w:rsidRPr="00571618" w:rsidRDefault="00DE00DD" w:rsidP="00DE00DD">
      <w:pPr>
        <w:tabs>
          <w:tab w:val="left" w:pos="7200"/>
        </w:tabs>
        <w:spacing w:line="240" w:lineRule="auto"/>
        <w:ind w:left="1065" w:hanging="25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3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Weighing less than 100 kilograms 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1873644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  <w:r w:rsidRPr="00571618">
        <w:rPr>
          <w:rFonts w:ascii="Times New Roman" w:eastAsia="Arial" w:hAnsi="Times New Roman" w:cs="Times New Roman"/>
          <w:sz w:val="26"/>
          <w:szCs w:val="26"/>
        </w:rPr>
        <w:t>]</w:t>
      </w:r>
    </w:p>
    <w:p w14:paraId="7DC34BD6" w14:textId="77777777" w:rsidR="00DE00DD" w:rsidRPr="00571618" w:rsidRDefault="00DE00DD" w:rsidP="00DE00DD">
      <w:pPr>
        <w:spacing w:after="0" w:line="240" w:lineRule="auto"/>
        <w:ind w:firstLine="360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>[</w: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Cocaine - -</w:t>
      </w:r>
    </w:p>
    <w:p w14:paraId="48414FAC" w14:textId="77777777" w:rsidR="00DE00DD" w:rsidRPr="00571618" w:rsidRDefault="00DE00DD" w:rsidP="00DE00DD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1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  Weighing 5 kilograms or more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301741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</w:p>
    <w:p w14:paraId="0C9A47F0" w14:textId="77777777" w:rsidR="00DE00DD" w:rsidRPr="00571618" w:rsidRDefault="00DE00DD" w:rsidP="00DE00DD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2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 Weighing 500 grams or more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27915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</w:p>
    <w:p w14:paraId="7AA260A8" w14:textId="4236C10F" w:rsidR="00DE00DD" w:rsidRPr="00571618" w:rsidRDefault="00DE00DD" w:rsidP="00DE00DD">
      <w:pPr>
        <w:tabs>
          <w:tab w:val="left" w:pos="7200"/>
        </w:tabs>
        <w:spacing w:line="240" w:lineRule="auto"/>
        <w:ind w:left="1065" w:hanging="25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3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Weighing less than 500 grams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-2013444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  <w:r w:rsidRPr="00571618">
        <w:rPr>
          <w:rFonts w:ascii="Times New Roman" w:eastAsia="Arial" w:hAnsi="Times New Roman" w:cs="Times New Roman"/>
          <w:sz w:val="26"/>
          <w:szCs w:val="26"/>
        </w:rPr>
        <w:t>]</w:t>
      </w:r>
    </w:p>
    <w:p w14:paraId="42631567" w14:textId="77777777" w:rsidR="00DE00DD" w:rsidRPr="00571618" w:rsidRDefault="00DE00DD" w:rsidP="00DE00DD">
      <w:pPr>
        <w:spacing w:after="0" w:line="240" w:lineRule="auto"/>
        <w:ind w:firstLine="360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>[</w: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3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Cocaine base (“crack” cocaine) - -</w:t>
      </w:r>
    </w:p>
    <w:p w14:paraId="6E38DA5F" w14:textId="77777777" w:rsidR="00DE00DD" w:rsidRPr="00571618" w:rsidRDefault="00DE00DD" w:rsidP="00DE00DD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1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  Weighing 280 grams or more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141166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</w:p>
    <w:p w14:paraId="161E5312" w14:textId="77777777" w:rsidR="00DE00DD" w:rsidRPr="00571618" w:rsidRDefault="00DE00DD" w:rsidP="00DE00DD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2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 Weighing 28 grams or more 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1645704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</w:p>
    <w:p w14:paraId="6586B3A4" w14:textId="19A26F90" w:rsidR="00DE00DD" w:rsidRDefault="00DE00DD" w:rsidP="00DE00DD">
      <w:pPr>
        <w:tabs>
          <w:tab w:val="left" w:pos="7200"/>
        </w:tabs>
        <w:spacing w:line="240" w:lineRule="auto"/>
        <w:ind w:left="1065" w:hanging="25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71618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3 </w:instrText>
      </w:r>
      <w:r w:rsidRPr="00571618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71618">
        <w:rPr>
          <w:rFonts w:ascii="Times New Roman" w:eastAsia="Arial" w:hAnsi="Times New Roman" w:cs="Times New Roman"/>
          <w:sz w:val="26"/>
          <w:szCs w:val="26"/>
        </w:rPr>
        <w:t xml:space="preserve"> Weighing less than 28 grams 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</w:r>
      <w:sdt>
        <w:sdtPr>
          <w:rPr>
            <w:rFonts w:ascii="Times New Roman" w:eastAsia="Arial" w:hAnsi="Times New Roman" w:cs="Times New Roman"/>
            <w:sz w:val="26"/>
            <w:szCs w:val="26"/>
          </w:rPr>
          <w:id w:val="1391617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618">
            <w:rPr>
              <w:rFonts w:ascii="Segoe UI Symbol" w:eastAsia="Arial" w:hAnsi="Segoe UI Symbol" w:cs="Segoe UI Symbol"/>
              <w:sz w:val="26"/>
              <w:szCs w:val="26"/>
            </w:rPr>
            <w:t>☐</w:t>
          </w:r>
        </w:sdtContent>
      </w:sdt>
      <w:r w:rsidRPr="00571618">
        <w:rPr>
          <w:rFonts w:ascii="Times New Roman" w:eastAsia="Arial" w:hAnsi="Times New Roman" w:cs="Times New Roman"/>
          <w:sz w:val="26"/>
          <w:szCs w:val="26"/>
        </w:rPr>
        <w:t>]</w:t>
      </w:r>
    </w:p>
    <w:p w14:paraId="3423CE81" w14:textId="77777777" w:rsidR="004D4F25" w:rsidRPr="00DE00DD" w:rsidRDefault="004D4F25" w:rsidP="00DE00DD">
      <w:pPr>
        <w:tabs>
          <w:tab w:val="left" w:pos="7200"/>
        </w:tabs>
        <w:spacing w:line="240" w:lineRule="auto"/>
        <w:ind w:left="1065" w:hanging="259"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7BA69622" w14:textId="77777777" w:rsidR="00DE00DD" w:rsidRPr="00571618" w:rsidRDefault="00DE00DD" w:rsidP="00DE00D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>SO SAY WE ALL.</w:t>
      </w:r>
    </w:p>
    <w:p w14:paraId="40DA8459" w14:textId="77777777" w:rsidR="00DE00DD" w:rsidRPr="00571618" w:rsidRDefault="00DE00DD" w:rsidP="00DE00DD">
      <w:pPr>
        <w:autoSpaceDE w:val="0"/>
        <w:autoSpaceDN w:val="0"/>
        <w:adjustRightInd w:val="0"/>
        <w:spacing w:after="0" w:line="240" w:lineRule="auto"/>
        <w:ind w:left="3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1416B0" w14:textId="77777777" w:rsidR="00DE00DD" w:rsidRPr="00571618" w:rsidRDefault="00DE00DD" w:rsidP="00DE00DD">
      <w:pPr>
        <w:autoSpaceDE w:val="0"/>
        <w:autoSpaceDN w:val="0"/>
        <w:adjustRightInd w:val="0"/>
        <w:spacing w:after="0" w:line="240" w:lineRule="auto"/>
        <w:ind w:left="3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14F0" w14:textId="77777777" w:rsidR="00DE00DD" w:rsidRPr="00571618" w:rsidRDefault="00DE00DD" w:rsidP="00DE00DD">
      <w:pPr>
        <w:tabs>
          <w:tab w:val="left" w:pos="5760"/>
        </w:tabs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>Date: ________________</w:t>
      </w:r>
      <w:r w:rsidRPr="00571618">
        <w:rPr>
          <w:rFonts w:ascii="Times New Roman" w:eastAsia="Arial" w:hAnsi="Times New Roman" w:cs="Times New Roman"/>
          <w:sz w:val="26"/>
          <w:szCs w:val="26"/>
        </w:rPr>
        <w:tab/>
        <w:t>__________________________</w:t>
      </w:r>
    </w:p>
    <w:p w14:paraId="7DAAFB19" w14:textId="77777777" w:rsidR="00DE00DD" w:rsidRPr="00571618" w:rsidRDefault="00DE00DD" w:rsidP="00DE00DD">
      <w:pPr>
        <w:tabs>
          <w:tab w:val="left" w:pos="6840"/>
        </w:tabs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ab/>
        <w:t>Foreperson</w:t>
      </w:r>
    </w:p>
    <w:p w14:paraId="236FEBF7" w14:textId="77777777" w:rsidR="00DE00DD" w:rsidRPr="00571618" w:rsidRDefault="00DE00DD" w:rsidP="00DE00DD">
      <w:pPr>
        <w:autoSpaceDE w:val="0"/>
        <w:autoSpaceDN w:val="0"/>
        <w:adjustRightInd w:val="0"/>
        <w:spacing w:after="0" w:line="240" w:lineRule="auto"/>
        <w:ind w:left="3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BC1C34" w14:textId="77777777" w:rsidR="00DE00DD" w:rsidRPr="00571618" w:rsidRDefault="00DE00DD" w:rsidP="00DE00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1618">
        <w:rPr>
          <w:rFonts w:ascii="Times New Roman" w:eastAsia="Arial" w:hAnsi="Times New Roman" w:cs="Times New Roman"/>
          <w:sz w:val="26"/>
          <w:szCs w:val="26"/>
        </w:rPr>
        <w:t>Multiple sets of the two paragraphs in this Special Verdict form will be necessary in the event of multiple counts of drug offenses against the same Defendant.</w:t>
      </w:r>
    </w:p>
    <w:p w14:paraId="17632054" w14:textId="77777777" w:rsidR="005764C5" w:rsidRDefault="005764C5" w:rsidP="00DE00DD">
      <w:pPr>
        <w:spacing w:line="240" w:lineRule="auto"/>
      </w:pPr>
    </w:p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DD"/>
    <w:rsid w:val="001A558C"/>
    <w:rsid w:val="002D6EE8"/>
    <w:rsid w:val="004D4F25"/>
    <w:rsid w:val="005764C5"/>
    <w:rsid w:val="006C30AA"/>
    <w:rsid w:val="0075262D"/>
    <w:rsid w:val="007B42AB"/>
    <w:rsid w:val="008361C4"/>
    <w:rsid w:val="0098552E"/>
    <w:rsid w:val="00DE00DD"/>
    <w:rsid w:val="00EA0C95"/>
    <w:rsid w:val="00F85D5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05B82"/>
  <w15:chartTrackingRefBased/>
  <w15:docId w15:val="{75A00E84-92E5-4542-A5AB-9FBEBF3B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0D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0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0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0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0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0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0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0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0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0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0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0D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0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0D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0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0D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0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2025-08-06T15:47:00Z</dcterms:created>
  <dcterms:modified xsi:type="dcterms:W3CDTF">2025-08-06T15:56:00Z</dcterms:modified>
</cp:coreProperties>
</file>