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4300" w:rsidRDefault="008D4300" w:rsidP="008D4300">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O107.2</w:t>
      </w:r>
    </w:p>
    <w:p w:rsidR="008D4300" w:rsidRDefault="008D4300" w:rsidP="008D4300">
      <w:pPr>
        <w:spacing w:after="0" w:line="240" w:lineRule="auto"/>
        <w:jc w:val="center"/>
        <w:rPr>
          <w:rFonts w:ascii="Times New Roman" w:eastAsia="Arial" w:hAnsi="Times New Roman"/>
          <w:b/>
          <w:sz w:val="28"/>
          <w:szCs w:val="28"/>
        </w:rPr>
      </w:pPr>
      <w:r>
        <w:rPr>
          <w:rFonts w:ascii="Times New Roman" w:eastAsia="Arial" w:hAnsi="Times New Roman"/>
          <w:b/>
          <w:sz w:val="28"/>
          <w:szCs w:val="28"/>
        </w:rPr>
        <w:t>Net Worth Method</w:t>
      </w:r>
    </w:p>
    <w:p w:rsidR="008D4300" w:rsidRPr="004021D9" w:rsidRDefault="008D4300" w:rsidP="008D4300">
      <w:pPr>
        <w:spacing w:after="0" w:line="240" w:lineRule="auto"/>
        <w:rPr>
          <w:rFonts w:ascii="Times New Roman" w:eastAsia="Arial" w:hAnsi="Times New Roman"/>
          <w:sz w:val="28"/>
          <w:szCs w:val="28"/>
        </w:rPr>
      </w:pPr>
    </w:p>
    <w:p w:rsidR="008D4300" w:rsidRPr="00503874" w:rsidRDefault="008D4300" w:rsidP="008D430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In this case the Government relies upon the “net-worth method” of proving unreported income.</w:t>
      </w:r>
    </w:p>
    <w:p w:rsidR="008D4300" w:rsidRPr="00503874" w:rsidRDefault="008D4300" w:rsidP="008D430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Under this method of proof, a person's “net worth” is the difference between the person's total assets and total liabilities on a given date. In other words, it’s the difference between what the person owns and what the person owes. Until something is sold, the value of what the person owns is based on the cost rather than any increase in market value.</w:t>
      </w:r>
    </w:p>
    <w:p w:rsidR="008D4300" w:rsidRPr="00503874" w:rsidRDefault="008D4300" w:rsidP="008D430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“net worth method” of proving unreported income involves comparing the Defendant's net worth at the beginning of the year and the Defendant's net worth at the end of the year. If the evidence proves beyond a reasonable doubt that the Defendant's net worth increased during a taxable year, then you may infer that the Defendant received money or property during that year.</w:t>
      </w:r>
    </w:p>
    <w:p w:rsidR="008D4300" w:rsidRPr="00503874" w:rsidRDefault="008D4300" w:rsidP="008D430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And if the evidence also proves that nontaxable sources don’t account for the increase in net worth, </w:t>
      </w:r>
      <w:proofErr w:type="gramStart"/>
      <w:r w:rsidRPr="00503874">
        <w:rPr>
          <w:rFonts w:ascii="Times New Roman" w:eastAsia="Arial" w:hAnsi="Times New Roman"/>
          <w:sz w:val="28"/>
          <w:szCs w:val="28"/>
        </w:rPr>
        <w:t>then</w:t>
      </w:r>
      <w:proofErr w:type="gramEnd"/>
      <w:r w:rsidRPr="00503874">
        <w:rPr>
          <w:rFonts w:ascii="Times New Roman" w:eastAsia="Arial" w:hAnsi="Times New Roman"/>
          <w:sz w:val="28"/>
          <w:szCs w:val="28"/>
        </w:rPr>
        <w:t xml:space="preserve"> you may further infer that the money and property received were taxable income to the Defendant.</w:t>
      </w:r>
    </w:p>
    <w:p w:rsidR="008D4300" w:rsidRPr="00503874" w:rsidRDefault="008D4300" w:rsidP="008D430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In addition to the matter of the Defendant's net worth, if the evidence proves beyond a reasonable doubt that the Defendant spent money during the year on living expenses, taxes, or other expenses that didn’t add to the Defendant's net worth by the end of the year, then you may infer that those expenditures also came </w:t>
      </w:r>
      <w:r w:rsidRPr="00503874">
        <w:rPr>
          <w:rFonts w:ascii="Times New Roman" w:eastAsia="Arial" w:hAnsi="Times New Roman"/>
          <w:sz w:val="28"/>
          <w:szCs w:val="28"/>
        </w:rPr>
        <w:lastRenderedPageBreak/>
        <w:t>from funds received during the year.</w:t>
      </w:r>
    </w:p>
    <w:p w:rsidR="008D4300" w:rsidRPr="00503874" w:rsidRDefault="008D4300" w:rsidP="008D430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And, again, if the evidence proves that those funds used for expenses didn’t come from nontaxable sources, and those expenses would not be deductible on the Defendant’s tax return, then you may further infer that those funds were also taxable income.</w:t>
      </w:r>
    </w:p>
    <w:p w:rsidR="008D4300" w:rsidRPr="00503874" w:rsidRDefault="008D4300" w:rsidP="008D430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As I said before, the “net worth method” of proving unreported income involves comparing the Defendant's net worth at the beginning of the year and the Defendant's net worth at the end of the year. So the result cannot be accepted as correct unless the starting net worth is reasonably accurate.</w:t>
      </w:r>
    </w:p>
    <w:p w:rsidR="008D4300" w:rsidRPr="00503874" w:rsidRDefault="008D4300" w:rsidP="008D430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If it’s proved that the assets owned by the Defendant at the starting point were insufficient, by themselves, to account for the later increases in the Defendant's net worth, then the proof does not have to show the exact value of the assets owned at the starting point, only the reasonably certain value.</w:t>
      </w:r>
    </w:p>
    <w:p w:rsidR="008D4300" w:rsidRPr="00503874" w:rsidRDefault="008D4300" w:rsidP="008D430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So if you decide that the evidence doesn’t prove with reasonable certainty what the Defendant's net worth was at the beginning of the year, you must find the Defendant not guilty.</w:t>
      </w:r>
    </w:p>
    <w:p w:rsidR="008D4300" w:rsidRPr="00503874" w:rsidRDefault="008D4300" w:rsidP="008D430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To decide whether the Defendant’s claimed net worth at the starting point is reasonably accurate, you may consider whether Government agents sufficiently investigated all reasonable leads suggested to them by the Defendant or that otherwise surfaced during the investigation concerning the existence and value of </w:t>
      </w:r>
      <w:r w:rsidRPr="00503874">
        <w:rPr>
          <w:rFonts w:ascii="Times New Roman" w:eastAsia="Arial" w:hAnsi="Times New Roman"/>
          <w:sz w:val="28"/>
          <w:szCs w:val="28"/>
        </w:rPr>
        <w:lastRenderedPageBreak/>
        <w:t>other assets.</w:t>
      </w:r>
    </w:p>
    <w:p w:rsidR="008D4300" w:rsidRPr="00503874" w:rsidRDefault="008D4300" w:rsidP="008D430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If you find that the Government's investigation failed to reasonably follow up on or failed to refute: </w:t>
      </w: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plausible explanations advanced by the Defendant, </w:t>
      </w: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explanations that otherwise arose during the investigation concerning other assets the Defendant had at the beginning of the year, or </w:t>
      </w: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other nontaxable sources of income the Defendant had during the year, then you should find the Defendant not guilty.</w:t>
      </w:r>
    </w:p>
    <w:p w:rsidR="008D4300" w:rsidRPr="00503874" w:rsidRDefault="008D4300" w:rsidP="008D430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But the Government’s obligation to reasonably investigate applies only to suggestions or explanations made by the Defendant, or to reasonable leads that otherwise turn up. The Government isn’t required to investigate every conceivable asset or source of nontaxable funds.</w:t>
      </w:r>
    </w:p>
    <w:p w:rsidR="00725167" w:rsidRPr="008D4300" w:rsidRDefault="008D4300" w:rsidP="008D430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If you decide that the evidence in the case proves beyond a reasonable doubt what was the maximum possible amount of the Defendant's net worth at the beginning of the tax year, and proves that any increase in the Defendant's net worth at the end of the year plus the amount of nondeductible expenditures made during the year was much more than the amount of income reported on the Defendant's tax return for that year, you must then decide whether the evidence also proves beyond a reasonable doubt that the additional funds are taxable income that the Defendant willfully atte</w:t>
      </w:r>
      <w:r>
        <w:rPr>
          <w:rFonts w:ascii="Times New Roman" w:eastAsia="Arial" w:hAnsi="Times New Roman"/>
          <w:sz w:val="28"/>
          <w:szCs w:val="28"/>
        </w:rPr>
        <w:t>mpted to evade paying taxes on.</w:t>
      </w:r>
      <w:bookmarkEnd w:id="0"/>
    </w:p>
    <w:sectPr w:rsidR="00725167" w:rsidRPr="008D4300" w:rsidSect="005F549B">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82E" w:rsidRDefault="00BF682E" w:rsidP="00BF682E">
      <w:pPr>
        <w:spacing w:after="0" w:line="240" w:lineRule="auto"/>
      </w:pPr>
      <w:r>
        <w:separator/>
      </w:r>
    </w:p>
  </w:endnote>
  <w:endnote w:type="continuationSeparator" w:id="0">
    <w:p w:rsidR="00BF682E" w:rsidRDefault="00BF682E" w:rsidP="00BF6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82E" w:rsidRDefault="00BF682E" w:rsidP="00BF682E">
      <w:pPr>
        <w:spacing w:after="0" w:line="240" w:lineRule="auto"/>
      </w:pPr>
      <w:r>
        <w:separator/>
      </w:r>
    </w:p>
  </w:footnote>
  <w:footnote w:type="continuationSeparator" w:id="0">
    <w:p w:rsidR="00BF682E" w:rsidRDefault="00BF682E" w:rsidP="00BF68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23E6"/>
    <w:rsid w:val="00037ACF"/>
    <w:rsid w:val="00046FD0"/>
    <w:rsid w:val="00061926"/>
    <w:rsid w:val="00084B22"/>
    <w:rsid w:val="000930F1"/>
    <w:rsid w:val="000A0DAC"/>
    <w:rsid w:val="000A3770"/>
    <w:rsid w:val="000C545E"/>
    <w:rsid w:val="000D1564"/>
    <w:rsid w:val="000F71FA"/>
    <w:rsid w:val="00124866"/>
    <w:rsid w:val="001363A6"/>
    <w:rsid w:val="001504EB"/>
    <w:rsid w:val="00174E07"/>
    <w:rsid w:val="001766ED"/>
    <w:rsid w:val="00193F8E"/>
    <w:rsid w:val="001945EA"/>
    <w:rsid w:val="00196D06"/>
    <w:rsid w:val="001A27D3"/>
    <w:rsid w:val="001A7BCA"/>
    <w:rsid w:val="001C2AD1"/>
    <w:rsid w:val="001D5D4B"/>
    <w:rsid w:val="001E65E4"/>
    <w:rsid w:val="001F304B"/>
    <w:rsid w:val="0023331F"/>
    <w:rsid w:val="002355A2"/>
    <w:rsid w:val="00291389"/>
    <w:rsid w:val="002949DE"/>
    <w:rsid w:val="002955BC"/>
    <w:rsid w:val="00297F25"/>
    <w:rsid w:val="002A58C5"/>
    <w:rsid w:val="002A5F98"/>
    <w:rsid w:val="002B3CC0"/>
    <w:rsid w:val="002D05B0"/>
    <w:rsid w:val="002D15B0"/>
    <w:rsid w:val="002D46A4"/>
    <w:rsid w:val="002E778E"/>
    <w:rsid w:val="002F0789"/>
    <w:rsid w:val="002F11BE"/>
    <w:rsid w:val="002F6471"/>
    <w:rsid w:val="003106D2"/>
    <w:rsid w:val="00316759"/>
    <w:rsid w:val="00323D3D"/>
    <w:rsid w:val="003269E0"/>
    <w:rsid w:val="003323B8"/>
    <w:rsid w:val="003353A3"/>
    <w:rsid w:val="00351981"/>
    <w:rsid w:val="00357A92"/>
    <w:rsid w:val="00360006"/>
    <w:rsid w:val="00364249"/>
    <w:rsid w:val="003643AB"/>
    <w:rsid w:val="003670BF"/>
    <w:rsid w:val="003B084A"/>
    <w:rsid w:val="003B1417"/>
    <w:rsid w:val="003C2F3D"/>
    <w:rsid w:val="003D1CD0"/>
    <w:rsid w:val="00401D1E"/>
    <w:rsid w:val="00412231"/>
    <w:rsid w:val="00424976"/>
    <w:rsid w:val="0044104D"/>
    <w:rsid w:val="00443451"/>
    <w:rsid w:val="00462948"/>
    <w:rsid w:val="004766C7"/>
    <w:rsid w:val="004B45C0"/>
    <w:rsid w:val="004C4685"/>
    <w:rsid w:val="004C5014"/>
    <w:rsid w:val="004D1133"/>
    <w:rsid w:val="004D306C"/>
    <w:rsid w:val="00501C3B"/>
    <w:rsid w:val="00504E80"/>
    <w:rsid w:val="00510D88"/>
    <w:rsid w:val="0053483C"/>
    <w:rsid w:val="0053790A"/>
    <w:rsid w:val="00556601"/>
    <w:rsid w:val="00557F44"/>
    <w:rsid w:val="00563316"/>
    <w:rsid w:val="00572EB8"/>
    <w:rsid w:val="005745FE"/>
    <w:rsid w:val="00583EEE"/>
    <w:rsid w:val="00594503"/>
    <w:rsid w:val="005A1944"/>
    <w:rsid w:val="005A273E"/>
    <w:rsid w:val="005C4A63"/>
    <w:rsid w:val="005F37C9"/>
    <w:rsid w:val="005F549B"/>
    <w:rsid w:val="00613601"/>
    <w:rsid w:val="00625D08"/>
    <w:rsid w:val="00626221"/>
    <w:rsid w:val="006429EF"/>
    <w:rsid w:val="00644D57"/>
    <w:rsid w:val="006658C1"/>
    <w:rsid w:val="006714FD"/>
    <w:rsid w:val="00680619"/>
    <w:rsid w:val="00692120"/>
    <w:rsid w:val="00697715"/>
    <w:rsid w:val="006B4912"/>
    <w:rsid w:val="006C622A"/>
    <w:rsid w:val="006D3953"/>
    <w:rsid w:val="006D4568"/>
    <w:rsid w:val="006E3583"/>
    <w:rsid w:val="006F546C"/>
    <w:rsid w:val="00704ACD"/>
    <w:rsid w:val="00706311"/>
    <w:rsid w:val="007147D3"/>
    <w:rsid w:val="00724005"/>
    <w:rsid w:val="00725167"/>
    <w:rsid w:val="00727375"/>
    <w:rsid w:val="00732434"/>
    <w:rsid w:val="00737B20"/>
    <w:rsid w:val="007563EF"/>
    <w:rsid w:val="007660E3"/>
    <w:rsid w:val="00767C79"/>
    <w:rsid w:val="00771D71"/>
    <w:rsid w:val="0077706C"/>
    <w:rsid w:val="00786F50"/>
    <w:rsid w:val="007A39C3"/>
    <w:rsid w:val="007A6B81"/>
    <w:rsid w:val="007A709E"/>
    <w:rsid w:val="007B23A4"/>
    <w:rsid w:val="007C5B5A"/>
    <w:rsid w:val="007D2297"/>
    <w:rsid w:val="007D489E"/>
    <w:rsid w:val="007E0D22"/>
    <w:rsid w:val="007E6B1B"/>
    <w:rsid w:val="007F6988"/>
    <w:rsid w:val="007F77C9"/>
    <w:rsid w:val="008154EA"/>
    <w:rsid w:val="0081575C"/>
    <w:rsid w:val="00825482"/>
    <w:rsid w:val="008379EC"/>
    <w:rsid w:val="0084612E"/>
    <w:rsid w:val="00867923"/>
    <w:rsid w:val="008726B6"/>
    <w:rsid w:val="00876496"/>
    <w:rsid w:val="008774CF"/>
    <w:rsid w:val="0088335A"/>
    <w:rsid w:val="00890A4E"/>
    <w:rsid w:val="00892057"/>
    <w:rsid w:val="008C37DB"/>
    <w:rsid w:val="008D4300"/>
    <w:rsid w:val="008D7939"/>
    <w:rsid w:val="008E3322"/>
    <w:rsid w:val="00905D66"/>
    <w:rsid w:val="00917BF9"/>
    <w:rsid w:val="00923115"/>
    <w:rsid w:val="009241CD"/>
    <w:rsid w:val="009334D8"/>
    <w:rsid w:val="00951BA3"/>
    <w:rsid w:val="00954ED0"/>
    <w:rsid w:val="009735DC"/>
    <w:rsid w:val="00993241"/>
    <w:rsid w:val="00996805"/>
    <w:rsid w:val="009A2D54"/>
    <w:rsid w:val="009B342A"/>
    <w:rsid w:val="009B791B"/>
    <w:rsid w:val="009C38F1"/>
    <w:rsid w:val="009D34C3"/>
    <w:rsid w:val="009D6389"/>
    <w:rsid w:val="009F22BD"/>
    <w:rsid w:val="00A247DA"/>
    <w:rsid w:val="00A440AC"/>
    <w:rsid w:val="00A56A7D"/>
    <w:rsid w:val="00A72636"/>
    <w:rsid w:val="00A76BCD"/>
    <w:rsid w:val="00AA2BBA"/>
    <w:rsid w:val="00AA6BE1"/>
    <w:rsid w:val="00AB14AE"/>
    <w:rsid w:val="00AD0C96"/>
    <w:rsid w:val="00AD3D99"/>
    <w:rsid w:val="00AD47C0"/>
    <w:rsid w:val="00AE728E"/>
    <w:rsid w:val="00AF5B0A"/>
    <w:rsid w:val="00B00A13"/>
    <w:rsid w:val="00B349C0"/>
    <w:rsid w:val="00B55C89"/>
    <w:rsid w:val="00B62FD8"/>
    <w:rsid w:val="00B82368"/>
    <w:rsid w:val="00BB4A37"/>
    <w:rsid w:val="00BF3BA6"/>
    <w:rsid w:val="00BF48B6"/>
    <w:rsid w:val="00BF673C"/>
    <w:rsid w:val="00BF682E"/>
    <w:rsid w:val="00BF6E7E"/>
    <w:rsid w:val="00C364B3"/>
    <w:rsid w:val="00C54C40"/>
    <w:rsid w:val="00C6381A"/>
    <w:rsid w:val="00C65CA3"/>
    <w:rsid w:val="00C67B4C"/>
    <w:rsid w:val="00C80256"/>
    <w:rsid w:val="00C8168F"/>
    <w:rsid w:val="00C81EB6"/>
    <w:rsid w:val="00C82F23"/>
    <w:rsid w:val="00C85838"/>
    <w:rsid w:val="00C90D9E"/>
    <w:rsid w:val="00CB15F1"/>
    <w:rsid w:val="00CB5193"/>
    <w:rsid w:val="00CD4431"/>
    <w:rsid w:val="00CE389B"/>
    <w:rsid w:val="00CF4820"/>
    <w:rsid w:val="00D217C7"/>
    <w:rsid w:val="00D230DA"/>
    <w:rsid w:val="00D30ADB"/>
    <w:rsid w:val="00D32381"/>
    <w:rsid w:val="00D73AFE"/>
    <w:rsid w:val="00D8337C"/>
    <w:rsid w:val="00D841D4"/>
    <w:rsid w:val="00D96E05"/>
    <w:rsid w:val="00DC100C"/>
    <w:rsid w:val="00DC18AE"/>
    <w:rsid w:val="00DC4D62"/>
    <w:rsid w:val="00DC59BD"/>
    <w:rsid w:val="00DD5FE6"/>
    <w:rsid w:val="00E06D44"/>
    <w:rsid w:val="00E13812"/>
    <w:rsid w:val="00E26C5E"/>
    <w:rsid w:val="00E274C4"/>
    <w:rsid w:val="00E27664"/>
    <w:rsid w:val="00E55EEB"/>
    <w:rsid w:val="00E7641C"/>
    <w:rsid w:val="00EC39F0"/>
    <w:rsid w:val="00ED45B3"/>
    <w:rsid w:val="00ED6AF8"/>
    <w:rsid w:val="00F01760"/>
    <w:rsid w:val="00F07077"/>
    <w:rsid w:val="00F3494A"/>
    <w:rsid w:val="00F50843"/>
    <w:rsid w:val="00F54061"/>
    <w:rsid w:val="00F74FBB"/>
    <w:rsid w:val="00F77A73"/>
    <w:rsid w:val="00F83540"/>
    <w:rsid w:val="00F83A34"/>
    <w:rsid w:val="00F95CF4"/>
    <w:rsid w:val="00FA4971"/>
    <w:rsid w:val="00FD1391"/>
    <w:rsid w:val="00FD40C1"/>
    <w:rsid w:val="00FE6036"/>
    <w:rsid w:val="00FE6BB9"/>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6F54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546C"/>
  </w:style>
  <w:style w:type="paragraph" w:styleId="Footer">
    <w:name w:val="footer"/>
    <w:basedOn w:val="Normal"/>
    <w:link w:val="FooterChar"/>
    <w:uiPriority w:val="99"/>
    <w:unhideWhenUsed/>
    <w:rsid w:val="006F54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54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6F54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546C"/>
  </w:style>
  <w:style w:type="paragraph" w:styleId="Footer">
    <w:name w:val="footer"/>
    <w:basedOn w:val="Normal"/>
    <w:link w:val="FooterChar"/>
    <w:uiPriority w:val="99"/>
    <w:unhideWhenUsed/>
    <w:rsid w:val="006F54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54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621</Words>
  <Characters>3543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2014-03-31T21:47:00Z</dcterms:created>
  <dcterms:modified xsi:type="dcterms:W3CDTF">2014-06-17T00:02:00Z</dcterms:modified>
</cp:coreProperties>
</file>